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29BB" w:rsidRDefault="00B729BB" w:rsidP="00F31F8F">
      <w:pPr>
        <w:pStyle w:val="Nadpis1"/>
        <w:numPr>
          <w:ilvl w:val="0"/>
          <w:numId w:val="0"/>
        </w:numPr>
      </w:pPr>
      <w:bookmarkStart w:id="0" w:name="_GoBack"/>
      <w:bookmarkEnd w:id="0"/>
      <w:r>
        <w:t>Důvodová zpráva</w:t>
      </w:r>
    </w:p>
    <w:p w:rsidR="00B729BB" w:rsidRDefault="00B729BB" w:rsidP="00F655F2">
      <w:pPr>
        <w:pStyle w:val="Nadpis2"/>
        <w:numPr>
          <w:ilvl w:val="0"/>
          <w:numId w:val="0"/>
        </w:numPr>
        <w:spacing w:before="120" w:after="0"/>
      </w:pPr>
      <w:r>
        <w:t>I. Obecná část</w:t>
      </w:r>
    </w:p>
    <w:p w:rsidR="00B729BB" w:rsidRPr="00556015" w:rsidRDefault="00B729BB" w:rsidP="00FC6CFF">
      <w:pPr>
        <w:pStyle w:val="Nadpis2"/>
        <w:keepNext w:val="0"/>
        <w:numPr>
          <w:ilvl w:val="1"/>
          <w:numId w:val="9"/>
        </w:numPr>
        <w:shd w:val="clear" w:color="auto" w:fill="FFFFFF"/>
        <w:tabs>
          <w:tab w:val="clear" w:pos="1134"/>
          <w:tab w:val="num" w:pos="567"/>
        </w:tabs>
        <w:spacing w:before="480"/>
        <w:ind w:left="550" w:hanging="550"/>
        <w:jc w:val="both"/>
      </w:pPr>
      <w:r w:rsidRPr="00556015">
        <w:t>Zhodnocení platného právního stavu</w:t>
      </w:r>
    </w:p>
    <w:p w:rsidR="00794112" w:rsidRDefault="00E256FD" w:rsidP="00E256FD">
      <w:r>
        <w:t>Právní úprav</w:t>
      </w:r>
      <w:r w:rsidR="006B04B6">
        <w:t xml:space="preserve">a zaměřená na prokazování </w:t>
      </w:r>
      <w:r>
        <w:t xml:space="preserve">příjmů se </w:t>
      </w:r>
      <w:r w:rsidR="0094503C">
        <w:t xml:space="preserve">v rámci daňové soustavy České republiky </w:t>
      </w:r>
      <w:r>
        <w:t>dotýká tzv. přímých důchodových daní, které zahrnují d</w:t>
      </w:r>
      <w:r w:rsidRPr="00831ED4">
        <w:t>aň z příjmů fyzických osob</w:t>
      </w:r>
      <w:r>
        <w:t xml:space="preserve"> a d</w:t>
      </w:r>
      <w:r w:rsidRPr="00831ED4">
        <w:t>aň z příjmů právnických osob</w:t>
      </w:r>
      <w:r>
        <w:t xml:space="preserve"> a jsou upraveny zákonem č. 586/1992 Sb., o </w:t>
      </w:r>
      <w:r w:rsidRPr="00831ED4">
        <w:t>daních z příjmů, ve</w:t>
      </w:r>
      <w:r w:rsidR="00095E72">
        <w:t> </w:t>
      </w:r>
      <w:r w:rsidRPr="00831ED4">
        <w:t>znění pozdějších předpisů</w:t>
      </w:r>
      <w:r>
        <w:t xml:space="preserve"> (dále jen „zákon o daních z příjmů“). Obecným procesním předpisem pro správu všech daní je zákon č. 280/2009 Sb., daňový řád, ve znění pozdějších předpisů (dále jen „daňový řád“), pro oblast daní z příjmů jsou speciální procesní normy součástí zákona o daních z příjmů.</w:t>
      </w:r>
    </w:p>
    <w:p w:rsidR="00AA1132" w:rsidRPr="00F714FF" w:rsidRDefault="00794112" w:rsidP="00DF081C">
      <w:r w:rsidRPr="00F714FF">
        <w:t xml:space="preserve">V praxi často dochází k tomu, že správce daně </w:t>
      </w:r>
      <w:r w:rsidR="001B65D4" w:rsidRPr="00F714FF">
        <w:t>disponuje informacemi (získanými například v</w:t>
      </w:r>
      <w:r w:rsidR="004C1B7C">
        <w:t> </w:t>
      </w:r>
      <w:r w:rsidR="001B65D4" w:rsidRPr="00F714FF">
        <w:t>rámci</w:t>
      </w:r>
      <w:r w:rsidRPr="00F714FF">
        <w:t xml:space="preserve"> vyhledávací činnosti nebo místního šetření</w:t>
      </w:r>
      <w:r w:rsidR="001B65D4" w:rsidRPr="00F714FF">
        <w:t>)</w:t>
      </w:r>
      <w:r w:rsidRPr="00F714FF">
        <w:t xml:space="preserve">, že </w:t>
      </w:r>
      <w:r w:rsidR="001B65D4" w:rsidRPr="00F714FF">
        <w:t>majetek daňového subjektu neodpovídá příjmům, které</w:t>
      </w:r>
      <w:r w:rsidRPr="00F714FF">
        <w:t xml:space="preserve"> tvrdil v daňovém přiznání</w:t>
      </w:r>
      <w:r w:rsidR="001B65D4">
        <w:t xml:space="preserve"> (tzn.</w:t>
      </w:r>
      <w:r w:rsidR="00423FE1">
        <w:t>,</w:t>
      </w:r>
      <w:r w:rsidR="001B65D4">
        <w:t xml:space="preserve"> faktický stav neodpovídá stavu deklarovanému daňovým subjektem)</w:t>
      </w:r>
      <w:r w:rsidR="005B723C" w:rsidRPr="00F714FF">
        <w:t>. Správce daně však nemá, zejména pokud je daňový subjekt nesoučinný, účinné nástroje k prokázání existence těchto příjmů a jejich následnému zdanění</w:t>
      </w:r>
      <w:r w:rsidR="00426A00" w:rsidRPr="00F714FF">
        <w:t xml:space="preserve">. </w:t>
      </w:r>
      <w:r w:rsidR="0048226E" w:rsidRPr="00F714FF">
        <w:t>Typicky jde o situaci, kdy poplatník, přestože vykazuje nízký základ daně, vlastní majetek vysoké hodnoty. Je tak zřejmé, že deklarované příjmy nemohou pokrýt poplatníkov</w:t>
      </w:r>
      <w:r w:rsidR="004C1B7C">
        <w:t>y</w:t>
      </w:r>
      <w:r w:rsidR="0048226E" w:rsidRPr="00F714FF">
        <w:t xml:space="preserve"> výdaje s nabytím majetku a skutečné příjmy jsou vyšší. Při dotazování na původ majetku, je</w:t>
      </w:r>
      <w:r w:rsidR="00B65FE8">
        <w:t> </w:t>
      </w:r>
      <w:r w:rsidR="00423FE1">
        <w:t>však</w:t>
      </w:r>
      <w:r w:rsidR="0048226E" w:rsidRPr="00F714FF">
        <w:t xml:space="preserve"> správce daně omezen lhůtou pro stanovení daně a též rozsahem důkazního břemene daňového subjektu.</w:t>
      </w:r>
    </w:p>
    <w:p w:rsidR="00F51453" w:rsidRDefault="00014AA4" w:rsidP="002B3DDF">
      <w:r>
        <w:t>Návrh zákona má za cíl</w:t>
      </w:r>
      <w:r w:rsidR="004C1B7C">
        <w:t>, aby v budoucnu mohly být</w:t>
      </w:r>
      <w:r>
        <w:t xml:space="preserve"> </w:t>
      </w:r>
      <w:r w:rsidR="004C1B7C">
        <w:t xml:space="preserve">efektivněji </w:t>
      </w:r>
      <w:r>
        <w:t>vyu</w:t>
      </w:r>
      <w:r w:rsidR="004C1B7C">
        <w:t>žity</w:t>
      </w:r>
      <w:r>
        <w:t xml:space="preserve"> stávající instituty daňového </w:t>
      </w:r>
      <w:r w:rsidR="00F51453">
        <w:t xml:space="preserve">a trestního </w:t>
      </w:r>
      <w:r w:rsidR="00645A8B">
        <w:t>práva. Zároveň upravuje</w:t>
      </w:r>
      <w:r>
        <w:t xml:space="preserve"> </w:t>
      </w:r>
      <w:r w:rsidR="00645A8B">
        <w:t xml:space="preserve">nové (speciální) </w:t>
      </w:r>
      <w:r>
        <w:t>instituty tak, aby</w:t>
      </w:r>
      <w:r w:rsidR="00F51453">
        <w:t xml:space="preserve"> bylo dosaženo požadovaného účelu, tedy efektivní</w:t>
      </w:r>
      <w:r w:rsidR="004C1B7C">
        <w:t>ho</w:t>
      </w:r>
      <w:r w:rsidR="00F51453">
        <w:t xml:space="preserve"> </w:t>
      </w:r>
      <w:r w:rsidR="00645A8B">
        <w:t xml:space="preserve">odhalení zatajených či nezdaněných příjmů poplatníka a jejich následného </w:t>
      </w:r>
      <w:r w:rsidR="00F51453">
        <w:t>zdanění.</w:t>
      </w:r>
    </w:p>
    <w:p w:rsidR="00F51453" w:rsidRPr="00BE48F7" w:rsidRDefault="00F51453" w:rsidP="00B85A1E">
      <w:pPr>
        <w:pStyle w:val="text"/>
        <w:numPr>
          <w:ilvl w:val="1"/>
          <w:numId w:val="22"/>
        </w:numPr>
        <w:ind w:left="432"/>
        <w:rPr>
          <w:b/>
        </w:rPr>
      </w:pPr>
      <w:r w:rsidRPr="00BE48F7">
        <w:rPr>
          <w:b/>
        </w:rPr>
        <w:t>Stávající mechanismy</w:t>
      </w:r>
      <w:r w:rsidR="00652651" w:rsidRPr="00BE48F7">
        <w:rPr>
          <w:b/>
        </w:rPr>
        <w:t xml:space="preserve">, které jsou zahrnuty do koncepce prokazování původu </w:t>
      </w:r>
      <w:r w:rsidR="00CB7775">
        <w:rPr>
          <w:b/>
        </w:rPr>
        <w:t>majetku</w:t>
      </w:r>
      <w:r w:rsidR="00652651" w:rsidRPr="00BE48F7">
        <w:rPr>
          <w:b/>
        </w:rPr>
        <w:t>, aniž by byly návrhem zákona měněny</w:t>
      </w:r>
      <w:r w:rsidRPr="00BE48F7">
        <w:rPr>
          <w:b/>
        </w:rPr>
        <w:t>:</w:t>
      </w:r>
    </w:p>
    <w:p w:rsidR="00F51453" w:rsidRDefault="00F51453" w:rsidP="00B85A1E">
      <w:pPr>
        <w:pStyle w:val="Odstavecseseznamem"/>
        <w:numPr>
          <w:ilvl w:val="0"/>
          <w:numId w:val="23"/>
        </w:numPr>
        <w:rPr>
          <w:rFonts w:ascii="Times New Roman" w:hAnsi="Times New Roman" w:cs="Times New Roman"/>
          <w:bCs/>
          <w:sz w:val="24"/>
          <w:szCs w:val="24"/>
        </w:rPr>
      </w:pPr>
      <w:r>
        <w:rPr>
          <w:rFonts w:ascii="Times New Roman" w:hAnsi="Times New Roman" w:cs="Times New Roman"/>
          <w:bCs/>
          <w:sz w:val="24"/>
          <w:szCs w:val="24"/>
        </w:rPr>
        <w:t>stavění lhůty pro stanovení daně (§ 148 odst. 4 písm. c) daňového řádu ve znění účinném od 1. ledna 2015),</w:t>
      </w:r>
    </w:p>
    <w:p w:rsidR="00F51453" w:rsidRPr="00D8668D" w:rsidRDefault="00F51453" w:rsidP="00B85A1E">
      <w:pPr>
        <w:pStyle w:val="Odstavecseseznamem"/>
        <w:numPr>
          <w:ilvl w:val="0"/>
          <w:numId w:val="23"/>
        </w:numPr>
        <w:rPr>
          <w:rFonts w:ascii="Times New Roman" w:hAnsi="Times New Roman" w:cs="Times New Roman"/>
          <w:bCs/>
          <w:sz w:val="24"/>
          <w:szCs w:val="24"/>
        </w:rPr>
      </w:pPr>
      <w:r>
        <w:rPr>
          <w:rFonts w:ascii="Times New Roman" w:hAnsi="Times New Roman" w:cs="Times New Roman"/>
          <w:bCs/>
          <w:sz w:val="24"/>
          <w:szCs w:val="24"/>
        </w:rPr>
        <w:t>o</w:t>
      </w:r>
      <w:r w:rsidRPr="00D8668D">
        <w:rPr>
          <w:rFonts w:ascii="Times New Roman" w:hAnsi="Times New Roman" w:cs="Times New Roman"/>
          <w:bCs/>
          <w:sz w:val="24"/>
          <w:szCs w:val="24"/>
        </w:rPr>
        <w:t>známení o osvobozených příjmech</w:t>
      </w:r>
      <w:r>
        <w:rPr>
          <w:rFonts w:ascii="Times New Roman" w:hAnsi="Times New Roman" w:cs="Times New Roman"/>
          <w:bCs/>
          <w:sz w:val="24"/>
          <w:szCs w:val="24"/>
        </w:rPr>
        <w:t xml:space="preserve"> fyzických osob</w:t>
      </w:r>
      <w:r w:rsidRPr="00D8668D">
        <w:rPr>
          <w:rFonts w:ascii="Times New Roman" w:hAnsi="Times New Roman" w:cs="Times New Roman"/>
          <w:bCs/>
          <w:sz w:val="24"/>
          <w:szCs w:val="24"/>
        </w:rPr>
        <w:t xml:space="preserve"> </w:t>
      </w:r>
      <w:r>
        <w:rPr>
          <w:rFonts w:ascii="Times New Roman" w:hAnsi="Times New Roman" w:cs="Times New Roman"/>
          <w:bCs/>
          <w:sz w:val="24"/>
          <w:szCs w:val="24"/>
        </w:rPr>
        <w:t>(§ 38v zákona o daních z</w:t>
      </w:r>
      <w:r w:rsidR="00645A8B">
        <w:rPr>
          <w:rFonts w:ascii="Times New Roman" w:hAnsi="Times New Roman" w:cs="Times New Roman"/>
          <w:bCs/>
          <w:sz w:val="24"/>
          <w:szCs w:val="24"/>
        </w:rPr>
        <w:t> </w:t>
      </w:r>
      <w:r>
        <w:rPr>
          <w:rFonts w:ascii="Times New Roman" w:hAnsi="Times New Roman" w:cs="Times New Roman"/>
          <w:bCs/>
          <w:sz w:val="24"/>
          <w:szCs w:val="24"/>
        </w:rPr>
        <w:t>příjmů</w:t>
      </w:r>
      <w:r w:rsidR="00645A8B">
        <w:rPr>
          <w:rFonts w:ascii="Times New Roman" w:hAnsi="Times New Roman" w:cs="Times New Roman"/>
          <w:bCs/>
          <w:sz w:val="24"/>
          <w:szCs w:val="24"/>
        </w:rPr>
        <w:t xml:space="preserve"> ve znění účinném od 1. ledna 2015</w:t>
      </w:r>
      <w:r>
        <w:rPr>
          <w:rFonts w:ascii="Times New Roman" w:hAnsi="Times New Roman" w:cs="Times New Roman"/>
          <w:bCs/>
          <w:sz w:val="24"/>
          <w:szCs w:val="24"/>
        </w:rPr>
        <w:t xml:space="preserve">), </w:t>
      </w:r>
    </w:p>
    <w:p w:rsidR="00F51453" w:rsidRDefault="00F51453" w:rsidP="00B85A1E">
      <w:pPr>
        <w:pStyle w:val="Odstavecseseznamem"/>
        <w:numPr>
          <w:ilvl w:val="0"/>
          <w:numId w:val="23"/>
        </w:numPr>
        <w:rPr>
          <w:rFonts w:ascii="Times New Roman" w:hAnsi="Times New Roman" w:cs="Times New Roman"/>
          <w:bCs/>
          <w:sz w:val="24"/>
          <w:szCs w:val="24"/>
        </w:rPr>
      </w:pPr>
      <w:r>
        <w:rPr>
          <w:rFonts w:ascii="Times New Roman" w:hAnsi="Times New Roman" w:cs="Times New Roman"/>
          <w:bCs/>
          <w:sz w:val="24"/>
          <w:szCs w:val="24"/>
        </w:rPr>
        <w:t>právní úprava daňových trestných činů</w:t>
      </w:r>
      <w:r w:rsidR="00645A8B">
        <w:rPr>
          <w:rFonts w:ascii="Times New Roman" w:hAnsi="Times New Roman" w:cs="Times New Roman"/>
          <w:bCs/>
          <w:sz w:val="24"/>
          <w:szCs w:val="24"/>
        </w:rPr>
        <w:t xml:space="preserve"> (zejm. § 240 </w:t>
      </w:r>
      <w:r w:rsidR="00F21FC2">
        <w:rPr>
          <w:rFonts w:ascii="Times New Roman" w:hAnsi="Times New Roman" w:cs="Times New Roman"/>
          <w:bCs/>
          <w:sz w:val="24"/>
          <w:szCs w:val="24"/>
        </w:rPr>
        <w:t xml:space="preserve">zákona č. 40/2009, Sb., </w:t>
      </w:r>
      <w:r w:rsidR="00645A8B">
        <w:rPr>
          <w:rFonts w:ascii="Times New Roman" w:hAnsi="Times New Roman" w:cs="Times New Roman"/>
          <w:bCs/>
          <w:sz w:val="24"/>
          <w:szCs w:val="24"/>
        </w:rPr>
        <w:t>trestní zákoník</w:t>
      </w:r>
      <w:r w:rsidR="00F21FC2">
        <w:rPr>
          <w:rFonts w:ascii="Times New Roman" w:hAnsi="Times New Roman" w:cs="Times New Roman"/>
          <w:bCs/>
          <w:sz w:val="24"/>
          <w:szCs w:val="24"/>
        </w:rPr>
        <w:t>, ve znění pozdějších předpisů, dále jen „trestní zákoník“</w:t>
      </w:r>
      <w:r w:rsidR="00645A8B">
        <w:rPr>
          <w:rFonts w:ascii="Times New Roman" w:hAnsi="Times New Roman" w:cs="Times New Roman"/>
          <w:bCs/>
          <w:sz w:val="24"/>
          <w:szCs w:val="24"/>
        </w:rPr>
        <w:t>)</w:t>
      </w:r>
      <w:r w:rsidR="009A7A7D">
        <w:rPr>
          <w:rFonts w:ascii="Times New Roman" w:hAnsi="Times New Roman" w:cs="Times New Roman"/>
          <w:bCs/>
          <w:sz w:val="24"/>
          <w:szCs w:val="24"/>
        </w:rPr>
        <w:t xml:space="preserve"> a prolomení lhůty pro stanovení daně při pravomocném odsouzení za daňový trestný čin</w:t>
      </w:r>
      <w:r>
        <w:rPr>
          <w:rFonts w:ascii="Times New Roman" w:hAnsi="Times New Roman" w:cs="Times New Roman"/>
          <w:bCs/>
          <w:sz w:val="24"/>
          <w:szCs w:val="24"/>
        </w:rPr>
        <w:t>,</w:t>
      </w:r>
    </w:p>
    <w:p w:rsidR="00F51453" w:rsidRPr="00AA1132" w:rsidRDefault="00645A8B" w:rsidP="00B85A1E">
      <w:pPr>
        <w:pStyle w:val="Odstavecseseznamem"/>
        <w:numPr>
          <w:ilvl w:val="0"/>
          <w:numId w:val="23"/>
        </w:numPr>
        <w:rPr>
          <w:rFonts w:ascii="Times New Roman" w:hAnsi="Times New Roman" w:cs="Times New Roman"/>
          <w:bCs/>
          <w:sz w:val="24"/>
          <w:szCs w:val="24"/>
        </w:rPr>
      </w:pPr>
      <w:r>
        <w:rPr>
          <w:rFonts w:ascii="Times New Roman" w:hAnsi="Times New Roman" w:cs="Times New Roman"/>
          <w:bCs/>
          <w:sz w:val="24"/>
          <w:szCs w:val="24"/>
        </w:rPr>
        <w:t>zákon č. 159/2006 Sb.</w:t>
      </w:r>
      <w:r w:rsidR="00F21FC2">
        <w:rPr>
          <w:rFonts w:ascii="Times New Roman" w:hAnsi="Times New Roman" w:cs="Times New Roman"/>
          <w:bCs/>
          <w:sz w:val="24"/>
          <w:szCs w:val="24"/>
        </w:rPr>
        <w:t xml:space="preserve">, o střetu zájmů, ve znění pozdějších předpisů, </w:t>
      </w:r>
      <w:r w:rsidR="009768ED">
        <w:rPr>
          <w:rFonts w:ascii="Times New Roman" w:hAnsi="Times New Roman" w:cs="Times New Roman"/>
          <w:bCs/>
          <w:sz w:val="24"/>
          <w:szCs w:val="24"/>
        </w:rPr>
        <w:t>(</w:t>
      </w:r>
      <w:r w:rsidR="00F21FC2">
        <w:rPr>
          <w:rFonts w:ascii="Times New Roman" w:hAnsi="Times New Roman" w:cs="Times New Roman"/>
          <w:bCs/>
          <w:sz w:val="24"/>
          <w:szCs w:val="24"/>
        </w:rPr>
        <w:t>dále jen „zákon o střetu zájmů“</w:t>
      </w:r>
      <w:r w:rsidR="009768ED">
        <w:rPr>
          <w:rFonts w:ascii="Times New Roman" w:hAnsi="Times New Roman" w:cs="Times New Roman"/>
          <w:bCs/>
          <w:sz w:val="24"/>
          <w:szCs w:val="24"/>
        </w:rPr>
        <w:t>)</w:t>
      </w:r>
      <w:r w:rsidR="00F51453">
        <w:rPr>
          <w:rFonts w:ascii="Times New Roman" w:hAnsi="Times New Roman" w:cs="Times New Roman"/>
          <w:bCs/>
          <w:sz w:val="24"/>
          <w:szCs w:val="24"/>
        </w:rPr>
        <w:t>.</w:t>
      </w:r>
    </w:p>
    <w:p w:rsidR="002B3DDF" w:rsidRPr="00BE48F7" w:rsidRDefault="00557355" w:rsidP="00B85A1E">
      <w:pPr>
        <w:pStyle w:val="text"/>
        <w:numPr>
          <w:ilvl w:val="1"/>
          <w:numId w:val="22"/>
        </w:numPr>
        <w:ind w:left="432"/>
        <w:rPr>
          <w:b/>
        </w:rPr>
      </w:pPr>
      <w:r>
        <w:rPr>
          <w:b/>
        </w:rPr>
        <w:t>M</w:t>
      </w:r>
      <w:r w:rsidR="00CB7775">
        <w:rPr>
          <w:b/>
        </w:rPr>
        <w:t>echanismy</w:t>
      </w:r>
      <w:r w:rsidR="00652651" w:rsidRPr="00BE48F7">
        <w:rPr>
          <w:b/>
        </w:rPr>
        <w:t xml:space="preserve">, které </w:t>
      </w:r>
      <w:r w:rsidR="00CB7775">
        <w:rPr>
          <w:b/>
        </w:rPr>
        <w:t>jsou pro účely koncepce využity</w:t>
      </w:r>
      <w:r w:rsidR="00652651" w:rsidRPr="00BE48F7">
        <w:rPr>
          <w:b/>
        </w:rPr>
        <w:t xml:space="preserve"> v</w:t>
      </w:r>
      <w:r w:rsidR="00645A8B">
        <w:rPr>
          <w:b/>
        </w:rPr>
        <w:t> </w:t>
      </w:r>
      <w:r w:rsidR="00652651" w:rsidRPr="00BE48F7">
        <w:rPr>
          <w:b/>
        </w:rPr>
        <w:t>upravené</w:t>
      </w:r>
      <w:r w:rsidR="00645A8B">
        <w:rPr>
          <w:b/>
        </w:rPr>
        <w:t xml:space="preserve"> (speciální)</w:t>
      </w:r>
      <w:r w:rsidR="00652651" w:rsidRPr="00BE48F7">
        <w:rPr>
          <w:b/>
        </w:rPr>
        <w:t xml:space="preserve"> podobě:</w:t>
      </w:r>
    </w:p>
    <w:p w:rsidR="00E256FD" w:rsidRDefault="00E256FD" w:rsidP="00B85A1E">
      <w:pPr>
        <w:pStyle w:val="Odstavecseseznamem"/>
        <w:numPr>
          <w:ilvl w:val="0"/>
          <w:numId w:val="24"/>
        </w:numPr>
        <w:rPr>
          <w:rFonts w:ascii="Times New Roman" w:hAnsi="Times New Roman" w:cs="Times New Roman"/>
          <w:bCs/>
          <w:sz w:val="24"/>
          <w:szCs w:val="24"/>
        </w:rPr>
      </w:pPr>
      <w:r>
        <w:rPr>
          <w:rFonts w:ascii="Times New Roman" w:hAnsi="Times New Roman" w:cs="Times New Roman"/>
          <w:bCs/>
          <w:sz w:val="24"/>
          <w:szCs w:val="24"/>
        </w:rPr>
        <w:t xml:space="preserve">stanovení daně </w:t>
      </w:r>
      <w:r w:rsidR="00E139AE">
        <w:rPr>
          <w:rFonts w:ascii="Times New Roman" w:hAnsi="Times New Roman" w:cs="Times New Roman"/>
          <w:bCs/>
          <w:sz w:val="24"/>
          <w:szCs w:val="24"/>
        </w:rPr>
        <w:t>po</w:t>
      </w:r>
      <w:r>
        <w:rPr>
          <w:rFonts w:ascii="Times New Roman" w:hAnsi="Times New Roman" w:cs="Times New Roman"/>
          <w:bCs/>
          <w:sz w:val="24"/>
          <w:szCs w:val="24"/>
        </w:rPr>
        <w:t>dle p</w:t>
      </w:r>
      <w:r w:rsidRPr="00D8668D">
        <w:rPr>
          <w:rFonts w:ascii="Times New Roman" w:hAnsi="Times New Roman" w:cs="Times New Roman"/>
          <w:bCs/>
          <w:sz w:val="24"/>
          <w:szCs w:val="24"/>
        </w:rPr>
        <w:t>omůc</w:t>
      </w:r>
      <w:r>
        <w:rPr>
          <w:rFonts w:ascii="Times New Roman" w:hAnsi="Times New Roman" w:cs="Times New Roman"/>
          <w:bCs/>
          <w:sz w:val="24"/>
          <w:szCs w:val="24"/>
        </w:rPr>
        <w:t>ek</w:t>
      </w:r>
      <w:r w:rsidRPr="00D8668D">
        <w:rPr>
          <w:rFonts w:ascii="Times New Roman" w:hAnsi="Times New Roman" w:cs="Times New Roman"/>
          <w:bCs/>
          <w:sz w:val="24"/>
          <w:szCs w:val="24"/>
        </w:rPr>
        <w:t xml:space="preserve"> </w:t>
      </w:r>
      <w:r>
        <w:rPr>
          <w:rFonts w:ascii="Times New Roman" w:hAnsi="Times New Roman" w:cs="Times New Roman"/>
          <w:bCs/>
          <w:sz w:val="24"/>
          <w:szCs w:val="24"/>
        </w:rPr>
        <w:t>(§ 98 daňového řádu</w:t>
      </w:r>
      <w:r w:rsidR="00557355">
        <w:rPr>
          <w:rFonts w:ascii="Times New Roman" w:hAnsi="Times New Roman" w:cs="Times New Roman"/>
          <w:bCs/>
          <w:sz w:val="24"/>
          <w:szCs w:val="24"/>
        </w:rPr>
        <w:t xml:space="preserve"> </w:t>
      </w:r>
      <w:r w:rsidR="00557355">
        <w:rPr>
          <w:rFonts w:ascii="Times New Roman" w:hAnsi="Times New Roman" w:cs="Times New Roman"/>
          <w:bCs/>
          <w:sz w:val="24"/>
          <w:szCs w:val="24"/>
        </w:rPr>
        <w:sym w:font="Symbol" w:char="F0AE"/>
      </w:r>
      <w:r w:rsidR="00557355">
        <w:rPr>
          <w:rFonts w:ascii="Times New Roman" w:hAnsi="Times New Roman" w:cs="Times New Roman"/>
          <w:bCs/>
          <w:sz w:val="24"/>
          <w:szCs w:val="24"/>
        </w:rPr>
        <w:t xml:space="preserve"> nově § 38za a následující zákona o daních z příjmů</w:t>
      </w:r>
      <w:r>
        <w:rPr>
          <w:rFonts w:ascii="Times New Roman" w:hAnsi="Times New Roman" w:cs="Times New Roman"/>
          <w:bCs/>
          <w:sz w:val="24"/>
          <w:szCs w:val="24"/>
        </w:rPr>
        <w:t>)</w:t>
      </w:r>
      <w:r w:rsidR="00880FCF">
        <w:rPr>
          <w:rFonts w:ascii="Times New Roman" w:hAnsi="Times New Roman" w:cs="Times New Roman"/>
          <w:bCs/>
          <w:sz w:val="24"/>
          <w:szCs w:val="24"/>
        </w:rPr>
        <w:t>,</w:t>
      </w:r>
    </w:p>
    <w:p w:rsidR="00880FCF" w:rsidRDefault="005815C2" w:rsidP="00B85A1E">
      <w:pPr>
        <w:pStyle w:val="Odstavecseseznamem"/>
        <w:numPr>
          <w:ilvl w:val="0"/>
          <w:numId w:val="24"/>
        </w:numPr>
        <w:rPr>
          <w:rFonts w:ascii="Times New Roman" w:hAnsi="Times New Roman" w:cs="Times New Roman"/>
          <w:bCs/>
          <w:sz w:val="24"/>
          <w:szCs w:val="24"/>
        </w:rPr>
      </w:pPr>
      <w:r>
        <w:rPr>
          <w:rFonts w:ascii="Times New Roman" w:hAnsi="Times New Roman" w:cs="Times New Roman"/>
          <w:bCs/>
          <w:sz w:val="24"/>
          <w:szCs w:val="24"/>
        </w:rPr>
        <w:t>prohlášení</w:t>
      </w:r>
      <w:r w:rsidR="00880FCF">
        <w:rPr>
          <w:rFonts w:ascii="Times New Roman" w:hAnsi="Times New Roman" w:cs="Times New Roman"/>
          <w:bCs/>
          <w:sz w:val="24"/>
          <w:szCs w:val="24"/>
        </w:rPr>
        <w:t xml:space="preserve"> o majetku</w:t>
      </w:r>
      <w:r>
        <w:rPr>
          <w:rFonts w:ascii="Times New Roman" w:hAnsi="Times New Roman" w:cs="Times New Roman"/>
          <w:bCs/>
          <w:sz w:val="24"/>
          <w:szCs w:val="24"/>
        </w:rPr>
        <w:t xml:space="preserve"> (§ 180 daňového řádu</w:t>
      </w:r>
      <w:r w:rsidR="00645A8B">
        <w:rPr>
          <w:rFonts w:ascii="Times New Roman" w:hAnsi="Times New Roman" w:cs="Times New Roman"/>
          <w:bCs/>
          <w:sz w:val="24"/>
          <w:szCs w:val="24"/>
        </w:rPr>
        <w:t xml:space="preserve"> </w:t>
      </w:r>
      <w:r w:rsidR="00645A8B">
        <w:rPr>
          <w:rFonts w:ascii="Times New Roman" w:hAnsi="Times New Roman" w:cs="Times New Roman"/>
          <w:bCs/>
          <w:sz w:val="24"/>
          <w:szCs w:val="24"/>
        </w:rPr>
        <w:sym w:font="Symbol" w:char="F0AE"/>
      </w:r>
      <w:r w:rsidR="00645A8B">
        <w:rPr>
          <w:rFonts w:ascii="Times New Roman" w:hAnsi="Times New Roman" w:cs="Times New Roman"/>
          <w:bCs/>
          <w:sz w:val="24"/>
          <w:szCs w:val="24"/>
        </w:rPr>
        <w:t xml:space="preserve"> nově § 38zc a následující</w:t>
      </w:r>
      <w:r w:rsidR="00557355">
        <w:rPr>
          <w:rFonts w:ascii="Times New Roman" w:hAnsi="Times New Roman" w:cs="Times New Roman"/>
          <w:bCs/>
          <w:sz w:val="24"/>
          <w:szCs w:val="24"/>
        </w:rPr>
        <w:t xml:space="preserve"> zákona o daních z příjmů</w:t>
      </w:r>
      <w:r>
        <w:rPr>
          <w:rFonts w:ascii="Times New Roman" w:hAnsi="Times New Roman" w:cs="Times New Roman"/>
          <w:bCs/>
          <w:sz w:val="24"/>
          <w:szCs w:val="24"/>
        </w:rPr>
        <w:t>)</w:t>
      </w:r>
      <w:r w:rsidR="00880FCF">
        <w:rPr>
          <w:rFonts w:ascii="Times New Roman" w:hAnsi="Times New Roman" w:cs="Times New Roman"/>
          <w:bCs/>
          <w:sz w:val="24"/>
          <w:szCs w:val="24"/>
        </w:rPr>
        <w:t>,</w:t>
      </w:r>
    </w:p>
    <w:p w:rsidR="00AA1132" w:rsidRDefault="00652651" w:rsidP="00B85A1E">
      <w:pPr>
        <w:pStyle w:val="Odstavecseseznamem"/>
        <w:numPr>
          <w:ilvl w:val="0"/>
          <w:numId w:val="24"/>
        </w:numPr>
        <w:rPr>
          <w:rFonts w:ascii="Times New Roman" w:hAnsi="Times New Roman" w:cs="Times New Roman"/>
          <w:bCs/>
          <w:sz w:val="24"/>
          <w:szCs w:val="24"/>
        </w:rPr>
      </w:pPr>
      <w:r>
        <w:rPr>
          <w:rFonts w:ascii="Times New Roman" w:hAnsi="Times New Roman" w:cs="Times New Roman"/>
          <w:bCs/>
          <w:sz w:val="24"/>
          <w:szCs w:val="24"/>
        </w:rPr>
        <w:lastRenderedPageBreak/>
        <w:t>trestný čin p</w:t>
      </w:r>
      <w:r w:rsidRPr="00652651">
        <w:rPr>
          <w:rFonts w:ascii="Times New Roman" w:hAnsi="Times New Roman" w:cs="Times New Roman"/>
          <w:bCs/>
          <w:sz w:val="24"/>
          <w:szCs w:val="24"/>
        </w:rPr>
        <w:t>orušení povinnosti učinit pravdivé prohlášení o majetku</w:t>
      </w:r>
      <w:r w:rsidR="005815C2">
        <w:rPr>
          <w:rFonts w:ascii="Times New Roman" w:hAnsi="Times New Roman" w:cs="Times New Roman"/>
          <w:bCs/>
          <w:sz w:val="24"/>
          <w:szCs w:val="24"/>
        </w:rPr>
        <w:t xml:space="preserve"> (§ 227</w:t>
      </w:r>
      <w:r w:rsidR="00645A8B">
        <w:rPr>
          <w:rFonts w:ascii="Times New Roman" w:hAnsi="Times New Roman" w:cs="Times New Roman"/>
          <w:bCs/>
          <w:sz w:val="24"/>
          <w:szCs w:val="24"/>
        </w:rPr>
        <w:t xml:space="preserve"> </w:t>
      </w:r>
      <w:r>
        <w:rPr>
          <w:rFonts w:ascii="Times New Roman" w:hAnsi="Times New Roman" w:cs="Times New Roman"/>
          <w:bCs/>
          <w:sz w:val="24"/>
          <w:szCs w:val="24"/>
        </w:rPr>
        <w:t>trestního zákoníku</w:t>
      </w:r>
      <w:r w:rsidR="00557355">
        <w:rPr>
          <w:rFonts w:ascii="Times New Roman" w:hAnsi="Times New Roman" w:cs="Times New Roman"/>
          <w:bCs/>
          <w:sz w:val="24"/>
          <w:szCs w:val="24"/>
        </w:rPr>
        <w:t xml:space="preserve"> </w:t>
      </w:r>
      <w:r w:rsidR="00557355">
        <w:rPr>
          <w:rFonts w:ascii="Times New Roman" w:hAnsi="Times New Roman" w:cs="Times New Roman"/>
          <w:bCs/>
          <w:sz w:val="24"/>
          <w:szCs w:val="24"/>
        </w:rPr>
        <w:sym w:font="Symbol" w:char="F0AE"/>
      </w:r>
      <w:r w:rsidR="00557355">
        <w:rPr>
          <w:rFonts w:ascii="Times New Roman" w:hAnsi="Times New Roman" w:cs="Times New Roman"/>
          <w:bCs/>
          <w:sz w:val="24"/>
          <w:szCs w:val="24"/>
        </w:rPr>
        <w:t xml:space="preserve"> nově odstavec 2</w:t>
      </w:r>
      <w:r>
        <w:rPr>
          <w:rFonts w:ascii="Times New Roman" w:hAnsi="Times New Roman" w:cs="Times New Roman"/>
          <w:bCs/>
          <w:sz w:val="24"/>
          <w:szCs w:val="24"/>
        </w:rPr>
        <w:t>).</w:t>
      </w:r>
    </w:p>
    <w:p w:rsidR="00652651" w:rsidRPr="00661987" w:rsidRDefault="00652651" w:rsidP="00661987">
      <w:pPr>
        <w:pStyle w:val="text"/>
        <w:keepNext/>
        <w:ind w:firstLine="0"/>
        <w:rPr>
          <w:b/>
          <w:bCs/>
        </w:rPr>
      </w:pPr>
      <w:r w:rsidRPr="00661987">
        <w:rPr>
          <w:b/>
          <w:bCs/>
        </w:rPr>
        <w:t xml:space="preserve">Ad </w:t>
      </w:r>
      <w:r w:rsidR="00BE48F7">
        <w:rPr>
          <w:b/>
          <w:bCs/>
        </w:rPr>
        <w:t>1.1</w:t>
      </w:r>
      <w:r w:rsidR="00661987">
        <w:rPr>
          <w:b/>
          <w:bCs/>
        </w:rPr>
        <w:t>.a)</w:t>
      </w:r>
      <w:r w:rsidRPr="00661987">
        <w:rPr>
          <w:b/>
          <w:bCs/>
        </w:rPr>
        <w:t xml:space="preserve"> Stavění lhůty pro stanovení daně</w:t>
      </w:r>
    </w:p>
    <w:p w:rsidR="005C19DB" w:rsidRPr="00CB7775" w:rsidRDefault="005C19DB" w:rsidP="00652651">
      <w:pPr>
        <w:rPr>
          <w:bCs/>
        </w:rPr>
      </w:pPr>
      <w:r w:rsidRPr="00CB7775">
        <w:rPr>
          <w:bCs/>
        </w:rPr>
        <w:t>Daňový řád s účinností od 1. ledna 2015 počítá s dílčí změnou v systematice stavění lhůty pro stanovení daně tak, že lhůta pro stanovení daně se bude stavět po dobu vedení trestního stíhání pro daňový trestn</w:t>
      </w:r>
      <w:r w:rsidR="00EA0673">
        <w:rPr>
          <w:bCs/>
        </w:rPr>
        <w:t>ý</w:t>
      </w:r>
      <w:r w:rsidRPr="00CB7775">
        <w:rPr>
          <w:bCs/>
        </w:rPr>
        <w:t xml:space="preserve"> čin.</w:t>
      </w:r>
    </w:p>
    <w:p w:rsidR="00FA3F0E" w:rsidRPr="00CB7775" w:rsidRDefault="00FA3F0E" w:rsidP="00652651">
      <w:pPr>
        <w:rPr>
          <w:bCs/>
        </w:rPr>
      </w:pPr>
      <w:r w:rsidRPr="00CB7775">
        <w:rPr>
          <w:bCs/>
        </w:rPr>
        <w:t>Základní délka lhůty pro stanovení daně činí 3 roky, maximálně pak 10 let, přičemž se jedná o lhůtu propadn</w:t>
      </w:r>
      <w:r w:rsidR="00477C1A" w:rsidRPr="00CB7775">
        <w:rPr>
          <w:bCs/>
        </w:rPr>
        <w:t>o</w:t>
      </w:r>
      <w:r w:rsidRPr="00CB7775">
        <w:rPr>
          <w:bCs/>
        </w:rPr>
        <w:t xml:space="preserve">u (neboli prekluzivní). Jestliže lhůta pro stanovení daně uplyne, není možné daň (až na výjimky – srov. § 148 odst. 6 </w:t>
      </w:r>
      <w:r w:rsidR="00D07852" w:rsidRPr="00CB7775">
        <w:rPr>
          <w:bCs/>
        </w:rPr>
        <w:t xml:space="preserve">a 7 </w:t>
      </w:r>
      <w:r w:rsidRPr="00CB7775">
        <w:rPr>
          <w:bCs/>
        </w:rPr>
        <w:t>daňového řádu) stanovit. Stavění lhůty pro stanovení daně</w:t>
      </w:r>
      <w:r w:rsidR="00FA1CED" w:rsidRPr="00CB7775">
        <w:rPr>
          <w:bCs/>
        </w:rPr>
        <w:t xml:space="preserve"> po dobu trestního stíhání</w:t>
      </w:r>
      <w:r w:rsidRPr="00CB7775">
        <w:rPr>
          <w:bCs/>
        </w:rPr>
        <w:t xml:space="preserve"> tudíž v souvislosti s daňovou trestnou činností hraje významnou roli, neboť lze presumovat, že soudní řízení o trestném činu trvá natolik dlouho</w:t>
      </w:r>
      <w:r w:rsidR="00FA1CED" w:rsidRPr="00CB7775">
        <w:rPr>
          <w:bCs/>
        </w:rPr>
        <w:t>u dobu</w:t>
      </w:r>
      <w:r w:rsidRPr="00CB7775">
        <w:rPr>
          <w:bCs/>
        </w:rPr>
        <w:t>, že by v konkrétních případech mohla být lhůta</w:t>
      </w:r>
      <w:r w:rsidR="00FA1CED" w:rsidRPr="00CB7775">
        <w:rPr>
          <w:bCs/>
        </w:rPr>
        <w:t xml:space="preserve"> pro stanovení daně ohrožena či přímo překročena.</w:t>
      </w:r>
      <w:r w:rsidRPr="00CB7775">
        <w:rPr>
          <w:bCs/>
        </w:rPr>
        <w:t xml:space="preserve"> </w:t>
      </w:r>
      <w:r w:rsidR="00FA1CED" w:rsidRPr="00CB7775">
        <w:rPr>
          <w:bCs/>
        </w:rPr>
        <w:t>V</w:t>
      </w:r>
      <w:r w:rsidRPr="00CB7775">
        <w:rPr>
          <w:bCs/>
        </w:rPr>
        <w:t xml:space="preserve"> důsledku </w:t>
      </w:r>
      <w:r w:rsidR="00FA1CED" w:rsidRPr="00CB7775">
        <w:rPr>
          <w:bCs/>
        </w:rPr>
        <w:t>toho</w:t>
      </w:r>
      <w:r w:rsidRPr="00CB7775">
        <w:rPr>
          <w:bCs/>
        </w:rPr>
        <w:t xml:space="preserve"> by nebyl naplněn základní cíl správy daní.</w:t>
      </w:r>
      <w:r w:rsidR="00283470" w:rsidRPr="00CB7775">
        <w:rPr>
          <w:bCs/>
        </w:rPr>
        <w:t xml:space="preserve"> </w:t>
      </w:r>
    </w:p>
    <w:p w:rsidR="006F2D0B" w:rsidRPr="00CB7775" w:rsidRDefault="006F2D0B" w:rsidP="00652651">
      <w:pPr>
        <w:rPr>
          <w:bCs/>
        </w:rPr>
      </w:pPr>
      <w:r w:rsidRPr="00CB7775">
        <w:rPr>
          <w:bCs/>
        </w:rPr>
        <w:t>Stavění lhůty pro stanovení daně po dobu vedení trestního stíhání</w:t>
      </w:r>
      <w:r w:rsidR="00442A14">
        <w:rPr>
          <w:bCs/>
        </w:rPr>
        <w:t xml:space="preserve"> stejně jako v ostatních případech, kdy dochází ke stavění lhůty pro stanovení daně,</w:t>
      </w:r>
      <w:r w:rsidRPr="00CB7775">
        <w:rPr>
          <w:bCs/>
        </w:rPr>
        <w:t xml:space="preserve"> </w:t>
      </w:r>
      <w:r w:rsidR="00442A14">
        <w:rPr>
          <w:bCs/>
        </w:rPr>
        <w:t xml:space="preserve">je však </w:t>
      </w:r>
      <w:r w:rsidRPr="00CB7775">
        <w:rPr>
          <w:bCs/>
        </w:rPr>
        <w:t xml:space="preserve">„zastropováno“ maximální </w:t>
      </w:r>
      <w:r w:rsidR="00B04CB2" w:rsidRPr="00CB7775">
        <w:rPr>
          <w:bCs/>
        </w:rPr>
        <w:t xml:space="preserve">desetiletou </w:t>
      </w:r>
      <w:r w:rsidRPr="00CB7775">
        <w:rPr>
          <w:bCs/>
        </w:rPr>
        <w:t>délkou lhůty, a to i tehdy, jestliže o výsledku trestního řízení nebude doposud rozhodnuto. Tato skutečnost je projevem principu právní jistoty, neboť v takovémto časovém horizontu ustupuje zájem na správném stanovení daně zájmu definitivního uspořádání práv a povinností.</w:t>
      </w:r>
    </w:p>
    <w:p w:rsidR="00D07852" w:rsidRDefault="00E90B8F" w:rsidP="00652651">
      <w:pPr>
        <w:rPr>
          <w:bCs/>
        </w:rPr>
      </w:pPr>
      <w:r w:rsidRPr="00CB7775">
        <w:rPr>
          <w:bCs/>
        </w:rPr>
        <w:t xml:space="preserve">Stavění lhůty pro stanovení daně po dobu trestního stíhání tak představuje institut, který </w:t>
      </w:r>
      <w:r w:rsidR="00FA1CED" w:rsidRPr="00CB7775">
        <w:rPr>
          <w:bCs/>
        </w:rPr>
        <w:t>zejména</w:t>
      </w:r>
      <w:r w:rsidRPr="00CB7775">
        <w:rPr>
          <w:bCs/>
        </w:rPr>
        <w:t xml:space="preserve"> umožní správci daně efektivnější naplnění základního cíle správy daní,</w:t>
      </w:r>
      <w:r w:rsidR="00FA1CED" w:rsidRPr="00CB7775">
        <w:rPr>
          <w:bCs/>
        </w:rPr>
        <w:t xml:space="preserve"> a to mimo jiné tím, že správce daně bude moci použít instituty zajištění daně. Možnost správce daně konat během stavěné lhůty nezbytné úkony se projeví pozitivně rovněž </w:t>
      </w:r>
      <w:r w:rsidRPr="00CB7775">
        <w:rPr>
          <w:bCs/>
        </w:rPr>
        <w:t>v činnosti orgánů činných v trestním řízení</w:t>
      </w:r>
      <w:r w:rsidR="00FA1CED" w:rsidRPr="00CB7775">
        <w:rPr>
          <w:bCs/>
        </w:rPr>
        <w:t>, se kterými správce daně spolupracuje</w:t>
      </w:r>
      <w:r w:rsidRPr="00CB7775">
        <w:rPr>
          <w:bCs/>
        </w:rPr>
        <w:t>.</w:t>
      </w:r>
      <w:r w:rsidR="0069477C" w:rsidRPr="00CB7775">
        <w:rPr>
          <w:bCs/>
        </w:rPr>
        <w:t xml:space="preserve"> </w:t>
      </w:r>
      <w:r w:rsidR="00FA1CED" w:rsidRPr="00CB7775">
        <w:rPr>
          <w:bCs/>
        </w:rPr>
        <w:t>Mimo to se jedná o významný nástroj v koncepci boje proti daňovým únikům.</w:t>
      </w:r>
    </w:p>
    <w:p w:rsidR="004B57D5" w:rsidRPr="00CB7775" w:rsidRDefault="004B57D5" w:rsidP="004B57D5">
      <w:pPr>
        <w:rPr>
          <w:bCs/>
        </w:rPr>
      </w:pPr>
      <w:r>
        <w:rPr>
          <w:bCs/>
        </w:rPr>
        <w:t>Nad rámec stavění lhůty po dobu trestního stíhání daňový řád umožňuje výjimkou v § 148 odst. 6 stanovit daň na základě pravomocného rozhodnutí soudu o tom, že byl spáchán daňový trestný čin i po uplynutí prekluzivní lhůty pro stanovení daně. Není však možné ve všech případech na výsledek soudního řízení spoléhat, ačkoliv v ideálním případě bude moci správce daně hypoteticky daň na základě výsledku takového řízení stanovit. Správce daně je v těchto případech navíc limitován tím, že po uplynutí lhůty pro stanovení daně</w:t>
      </w:r>
      <w:r w:rsidRPr="00CB7775">
        <w:rPr>
          <w:bCs/>
        </w:rPr>
        <w:t xml:space="preserve"> nebude smět provádět žádné úkony týkající se této daně, což například znemožní zaji</w:t>
      </w:r>
      <w:r w:rsidR="00EA0673">
        <w:rPr>
          <w:bCs/>
        </w:rPr>
        <w:t>š</w:t>
      </w:r>
      <w:r w:rsidRPr="00CB7775">
        <w:rPr>
          <w:bCs/>
        </w:rPr>
        <w:t>t</w:t>
      </w:r>
      <w:r w:rsidR="00EA0673">
        <w:rPr>
          <w:bCs/>
        </w:rPr>
        <w:t>ění</w:t>
      </w:r>
      <w:r w:rsidRPr="00CB7775">
        <w:rPr>
          <w:bCs/>
        </w:rPr>
        <w:t xml:space="preserve"> da</w:t>
      </w:r>
      <w:r w:rsidR="00EA0673">
        <w:rPr>
          <w:bCs/>
        </w:rPr>
        <w:t>ně</w:t>
      </w:r>
      <w:r w:rsidRPr="00CB7775">
        <w:rPr>
          <w:bCs/>
        </w:rPr>
        <w:t xml:space="preserve"> pro její případné budoucí stanovení nebo spolupráci správce daně a orgánů činných v trestním řízení. </w:t>
      </w:r>
    </w:p>
    <w:p w:rsidR="00661987" w:rsidRPr="00661987" w:rsidRDefault="00661987" w:rsidP="00661987">
      <w:pPr>
        <w:pStyle w:val="text"/>
        <w:ind w:firstLine="0"/>
        <w:rPr>
          <w:b/>
        </w:rPr>
      </w:pPr>
      <w:r>
        <w:rPr>
          <w:b/>
          <w:bCs/>
        </w:rPr>
        <w:t xml:space="preserve">Ad </w:t>
      </w:r>
      <w:r w:rsidR="00BE48F7">
        <w:rPr>
          <w:b/>
          <w:bCs/>
        </w:rPr>
        <w:t>1.1.b</w:t>
      </w:r>
      <w:r>
        <w:rPr>
          <w:b/>
          <w:bCs/>
        </w:rPr>
        <w:t>)</w:t>
      </w:r>
      <w:r w:rsidR="00652651" w:rsidRPr="00661987">
        <w:rPr>
          <w:b/>
          <w:bCs/>
        </w:rPr>
        <w:t xml:space="preserve"> </w:t>
      </w:r>
      <w:r w:rsidRPr="00661987">
        <w:rPr>
          <w:b/>
        </w:rPr>
        <w:t>Ozn</w:t>
      </w:r>
      <w:r w:rsidR="005E1A24">
        <w:rPr>
          <w:b/>
        </w:rPr>
        <w:t>ámení</w:t>
      </w:r>
      <w:r w:rsidRPr="00661987">
        <w:rPr>
          <w:b/>
        </w:rPr>
        <w:t xml:space="preserve"> o osvobozených příjmech fyzických osob</w:t>
      </w:r>
    </w:p>
    <w:p w:rsidR="00661987" w:rsidRPr="004B4922" w:rsidRDefault="00661987" w:rsidP="00661987">
      <w:pPr>
        <w:rPr>
          <w:bCs/>
        </w:rPr>
      </w:pPr>
      <w:r>
        <w:rPr>
          <w:bCs/>
        </w:rPr>
        <w:t xml:space="preserve">Zákon o daních z příjmů v § 38v odst. 1 (ve znění účinném od 1. ledna 2015) zakotvuje </w:t>
      </w:r>
      <w:r w:rsidRPr="004B4922">
        <w:rPr>
          <w:bCs/>
        </w:rPr>
        <w:t>povinnost poplatníka daně z příjmů fyzických osob oznámit jednotlivý příjem od daně z příjmů fyzických osob osvobozený</w:t>
      </w:r>
      <w:r>
        <w:rPr>
          <w:bCs/>
        </w:rPr>
        <w:t xml:space="preserve"> přesahující částku 5</w:t>
      </w:r>
      <w:r w:rsidR="00547A7E">
        <w:rPr>
          <w:bCs/>
        </w:rPr>
        <w:t> 000 000 Kč</w:t>
      </w:r>
      <w:r w:rsidRPr="004B4922">
        <w:rPr>
          <w:bCs/>
        </w:rPr>
        <w:t>, a to ve lhůtě pro podání daňového přiznání za zdaňovací období, ve kterém poplatník tento příjem obdržel</w:t>
      </w:r>
      <w:r>
        <w:rPr>
          <w:bCs/>
        </w:rPr>
        <w:t>.</w:t>
      </w:r>
      <w:r w:rsidRPr="004B4922">
        <w:rPr>
          <w:bCs/>
        </w:rPr>
        <w:t xml:space="preserve"> </w:t>
      </w:r>
      <w:r w:rsidRPr="00922E62">
        <w:t>Oznamovací povinnost se</w:t>
      </w:r>
      <w:r>
        <w:t xml:space="preserve"> dle § 38v odst. 3 zákona o daních z příjmů</w:t>
      </w:r>
      <w:r w:rsidRPr="00922E62">
        <w:t xml:space="preserve"> </w:t>
      </w:r>
      <w:r>
        <w:t>nevztahuje na příjem, o </w:t>
      </w:r>
      <w:r w:rsidRPr="00922E62">
        <w:t>němž může údaje sprá</w:t>
      </w:r>
      <w:r>
        <w:t>vce daně zjistit z rejstříků či </w:t>
      </w:r>
      <w:r w:rsidRPr="00922E62">
        <w:t>evidencí, do kterých má přístup a které zveřejní na úřední desce a způsobem umožňujícím dálkový přístup.</w:t>
      </w:r>
      <w:r>
        <w:t xml:space="preserve"> </w:t>
      </w:r>
      <w:r w:rsidRPr="004B4922">
        <w:rPr>
          <w:bCs/>
        </w:rPr>
        <w:t xml:space="preserve">Předmětem oznamovací povinnosti </w:t>
      </w:r>
      <w:r>
        <w:rPr>
          <w:bCs/>
        </w:rPr>
        <w:t>je</w:t>
      </w:r>
      <w:r w:rsidRPr="004B4922">
        <w:rPr>
          <w:bCs/>
        </w:rPr>
        <w:t xml:space="preserve"> především movitý majetek, který nelze zjistit jiným způsobem</w:t>
      </w:r>
      <w:r>
        <w:rPr>
          <w:bCs/>
        </w:rPr>
        <w:t xml:space="preserve"> (např. </w:t>
      </w:r>
      <w:r w:rsidRPr="004B4922">
        <w:rPr>
          <w:bCs/>
        </w:rPr>
        <w:t>zlato a</w:t>
      </w:r>
      <w:r w:rsidR="00557355">
        <w:rPr>
          <w:bCs/>
        </w:rPr>
        <w:t> </w:t>
      </w:r>
      <w:r w:rsidRPr="004B4922">
        <w:rPr>
          <w:bCs/>
        </w:rPr>
        <w:t>drahé kovy, drahé kameny, šperky, starožitnosti, obrazy a další předměty či sbírky vyšší hodnoty</w:t>
      </w:r>
      <w:r>
        <w:rPr>
          <w:bCs/>
        </w:rPr>
        <w:t>)</w:t>
      </w:r>
      <w:r w:rsidRPr="004B4922">
        <w:rPr>
          <w:bCs/>
        </w:rPr>
        <w:t xml:space="preserve">. </w:t>
      </w:r>
    </w:p>
    <w:p w:rsidR="00547A7E" w:rsidRDefault="00547A7E" w:rsidP="00547A7E">
      <w:pPr>
        <w:pStyle w:val="text"/>
        <w:ind w:firstLine="0"/>
      </w:pPr>
      <w:r>
        <w:lastRenderedPageBreak/>
        <w:t>Daná povinnost</w:t>
      </w:r>
      <w:r w:rsidRPr="00B95C32">
        <w:t xml:space="preserve"> </w:t>
      </w:r>
      <w:r>
        <w:t xml:space="preserve">slouží k </w:t>
      </w:r>
      <w:r w:rsidRPr="00031F02">
        <w:t>větší transparentnosti majetkových transakcí</w:t>
      </w:r>
      <w:r w:rsidRPr="00B95C32">
        <w:t xml:space="preserve">. </w:t>
      </w:r>
      <w:r w:rsidRPr="00031F02">
        <w:t xml:space="preserve">Na rozdíl od příjmů, které jsou zdaňovány, není o osvobozených příjmech </w:t>
      </w:r>
      <w:r w:rsidR="00EA0673">
        <w:t xml:space="preserve">v zásadě </w:t>
      </w:r>
      <w:r w:rsidRPr="00031F02">
        <w:t xml:space="preserve">nutné informovat správce daně. V praxi tak z pohledu informací, kterými správce daně disponuje, může daný daňový subjekt působit jako ne vysoce příjmový, ačkoliv situace je </w:t>
      </w:r>
      <w:r w:rsidR="00EA0673" w:rsidRPr="00031F02">
        <w:t>opačná</w:t>
      </w:r>
      <w:r w:rsidRPr="00031F02">
        <w:t>.</w:t>
      </w:r>
      <w:r>
        <w:t xml:space="preserve"> </w:t>
      </w:r>
      <w:r w:rsidRPr="00031F02">
        <w:t xml:space="preserve">V tomto kontextu </w:t>
      </w:r>
      <w:r>
        <w:t>má povinnost oznamovat osvobozené příjmy význam pro limitaci často užívané obrany</w:t>
      </w:r>
      <w:r w:rsidRPr="00031F02">
        <w:t xml:space="preserve"> </w:t>
      </w:r>
      <w:r>
        <w:t>poplatníka</w:t>
      </w:r>
      <w:r w:rsidRPr="00031F02">
        <w:t>, že</w:t>
      </w:r>
      <w:r w:rsidR="00B65FE8">
        <w:t> </w:t>
      </w:r>
      <w:r w:rsidRPr="00031F02">
        <w:t>majetek, jehož původ má prokázat, byl nabyt prostřednictvím</w:t>
      </w:r>
      <w:r>
        <w:t xml:space="preserve"> osvobozeného příjmu</w:t>
      </w:r>
      <w:r w:rsidRPr="00031F02">
        <w:t>.</w:t>
      </w:r>
    </w:p>
    <w:p w:rsidR="00661987" w:rsidRDefault="00661987" w:rsidP="00661987">
      <w:pPr>
        <w:spacing w:before="120"/>
      </w:pPr>
      <w:r w:rsidRPr="00404F17">
        <w:t>Oznámení je podáním podle daňového řádu a lze jej učinit</w:t>
      </w:r>
      <w:r>
        <w:t xml:space="preserve"> v souladu s § 71 daňového řádu </w:t>
      </w:r>
      <w:r w:rsidRPr="00404F17">
        <w:t xml:space="preserve">písemně, ústně do protokolu nebo datovou zprávou. Neuplatní se tedy pravidlo, které předepisuje povinnou formu prostřednictvím tiskopisu či obdobného formuláře. Oznámení </w:t>
      </w:r>
      <w:r>
        <w:t>je možné</w:t>
      </w:r>
      <w:r w:rsidRPr="00404F17">
        <w:t xml:space="preserve"> strukturovat libovolným způsobem, pokud </w:t>
      </w:r>
      <w:r>
        <w:t xml:space="preserve">je </w:t>
      </w:r>
      <w:r w:rsidRPr="00404F17">
        <w:t>dodrž</w:t>
      </w:r>
      <w:r>
        <w:t>en</w:t>
      </w:r>
      <w:r w:rsidRPr="00404F17">
        <w:t xml:space="preserve"> požadavek na obsahové náležitosti stanovené </w:t>
      </w:r>
      <w:r>
        <w:t>§ 38v odst. 2 zákona o daních z příjmů, tj. výše</w:t>
      </w:r>
      <w:r w:rsidRPr="00404F17">
        <w:t xml:space="preserve"> příjmu, popis okolností nabytí příjmu a datum, kdy příjem vznikl</w:t>
      </w:r>
      <w:r>
        <w:t xml:space="preserve">. </w:t>
      </w:r>
    </w:p>
    <w:p w:rsidR="00661987" w:rsidRDefault="00661987" w:rsidP="00661987">
      <w:pPr>
        <w:spacing w:before="120"/>
      </w:pPr>
      <w:r w:rsidRPr="00404F17">
        <w:t>Zjistí-li správce daně nesplnění oznamovací povinnosti, vyzve poplatníka</w:t>
      </w:r>
      <w:r>
        <w:t xml:space="preserve"> dle § 38v odst. 4 zákona o daních z příjmů</w:t>
      </w:r>
      <w:r w:rsidRPr="00404F17">
        <w:t xml:space="preserve"> k jejímu dodatečnému splnění a stanoví mu k tomu náhradní lhůtu. Poplatníkovi </w:t>
      </w:r>
      <w:r>
        <w:t>dle § 38w zákona o daních z příjmů vzniká</w:t>
      </w:r>
      <w:r w:rsidRPr="00404F17">
        <w:t xml:space="preserve"> povinnost uhradit pokutu za včasné neoznámení osvobozených příjm</w:t>
      </w:r>
      <w:r w:rsidR="00EA0673">
        <w:t>ů</w:t>
      </w:r>
      <w:r w:rsidRPr="00404F17">
        <w:t xml:space="preserve"> ve výši 0,1 % z částky neoznámeného příjmu, pokud tuto povinnosti splní dodatečně, aniž byl k tomu vyzván, </w:t>
      </w:r>
      <w:r w:rsidR="00EA0673">
        <w:t xml:space="preserve">ve výši </w:t>
      </w:r>
      <w:r w:rsidRPr="00404F17">
        <w:t xml:space="preserve">10 % z částky neoznámeného příjmu, pokud poplatník tuto povinnost splní v náhradní lhůtě poté, co byl k tomu vyzván, nebo </w:t>
      </w:r>
      <w:r w:rsidR="00EA0673">
        <w:t xml:space="preserve">ve výši </w:t>
      </w:r>
      <w:r w:rsidRPr="00404F17">
        <w:t>15 % z částky neoznámeného příjmu, pokud poplatník ne</w:t>
      </w:r>
      <w:r w:rsidR="00EA0673">
        <w:t>s</w:t>
      </w:r>
      <w:r w:rsidRPr="00404F17">
        <w:t xml:space="preserve">plní tuto povinnost ani v náhradní lhůtě. Správce daně </w:t>
      </w:r>
      <w:r>
        <w:t>může</w:t>
      </w:r>
      <w:r w:rsidRPr="00404F17">
        <w:t xml:space="preserve"> zcela nebo zčásti prominout pokutu za neoznámení osvobozeného příjmu, pokud k nesplnění povinnosti oznámit osvobozený příjem došlo z důvodu, který lze s přihlédnutím k okolnostem daného případu ospravedlnit</w:t>
      </w:r>
      <w:r>
        <w:t xml:space="preserve"> (viz § 38w odst. 4 zákona o daních z příjmů)</w:t>
      </w:r>
      <w:r w:rsidRPr="00404F17">
        <w:t>.</w:t>
      </w:r>
    </w:p>
    <w:p w:rsidR="00661987" w:rsidRPr="00661987" w:rsidRDefault="00661987" w:rsidP="00661987">
      <w:pPr>
        <w:rPr>
          <w:b/>
          <w:bCs/>
        </w:rPr>
      </w:pPr>
      <w:r>
        <w:rPr>
          <w:b/>
          <w:bCs/>
        </w:rPr>
        <w:t xml:space="preserve">Ad </w:t>
      </w:r>
      <w:r w:rsidR="00BE48F7">
        <w:rPr>
          <w:b/>
          <w:bCs/>
        </w:rPr>
        <w:t>1.1.</w:t>
      </w:r>
      <w:r>
        <w:rPr>
          <w:b/>
          <w:bCs/>
        </w:rPr>
        <w:t>c</w:t>
      </w:r>
      <w:r w:rsidRPr="00661987">
        <w:rPr>
          <w:b/>
          <w:bCs/>
        </w:rPr>
        <w:t>)</w:t>
      </w:r>
      <w:r>
        <w:rPr>
          <w:b/>
          <w:bCs/>
        </w:rPr>
        <w:t xml:space="preserve"> Daňové trestné činy</w:t>
      </w:r>
    </w:p>
    <w:p w:rsidR="007B35E3" w:rsidRPr="00CB7775" w:rsidRDefault="00661987" w:rsidP="00661987">
      <w:r>
        <w:t xml:space="preserve">Souvislost mezi správou daní a trestním právem se projevuje zejména existencí několika </w:t>
      </w:r>
      <w:r w:rsidRPr="00CB7775">
        <w:t>„daňový</w:t>
      </w:r>
      <w:r w:rsidR="00C13CA2">
        <w:t>ch“ skutkových podstat trestných</w:t>
      </w:r>
      <w:r w:rsidRPr="00CB7775">
        <w:t xml:space="preserve"> čin</w:t>
      </w:r>
      <w:r w:rsidR="00C13CA2">
        <w:t>ů</w:t>
      </w:r>
      <w:r w:rsidRPr="00CB7775">
        <w:t xml:space="preserve"> obsažených v hlavě VI zvláštní části trestního zákoníku (trestné činy hospodářské), konkrétně pak v § 240 až 245 trestního zákoníku. </w:t>
      </w:r>
      <w:r w:rsidR="00C13CA2">
        <w:t>K</w:t>
      </w:r>
      <w:r w:rsidRPr="00CB7775">
        <w:t>líčovou roli</w:t>
      </w:r>
      <w:r w:rsidR="00C13CA2">
        <w:t xml:space="preserve"> hraje</w:t>
      </w:r>
      <w:r w:rsidRPr="00CB7775">
        <w:t xml:space="preserve"> trestný čin dle § 240 trestního zákoníku, a to </w:t>
      </w:r>
      <w:r w:rsidRPr="00CB7775">
        <w:rPr>
          <w:i/>
        </w:rPr>
        <w:t>zkrácení daně, poplatku a</w:t>
      </w:r>
      <w:r w:rsidR="00B65FE8">
        <w:rPr>
          <w:i/>
        </w:rPr>
        <w:t> </w:t>
      </w:r>
      <w:r w:rsidRPr="00CB7775">
        <w:rPr>
          <w:i/>
        </w:rPr>
        <w:t>podobné povinné platby</w:t>
      </w:r>
      <w:r w:rsidRPr="00CB7775">
        <w:t xml:space="preserve">. </w:t>
      </w:r>
      <w:r w:rsidR="007B35E3" w:rsidRPr="00CB7775">
        <w:rPr>
          <w:bCs/>
        </w:rPr>
        <w:t>Za spáchání tohoto trestného činu hrozí pachateli</w:t>
      </w:r>
      <w:r w:rsidR="00F47784" w:rsidRPr="00CB7775">
        <w:rPr>
          <w:bCs/>
        </w:rPr>
        <w:t xml:space="preserve"> až 10 let </w:t>
      </w:r>
      <w:r w:rsidR="00860E12">
        <w:rPr>
          <w:bCs/>
        </w:rPr>
        <w:t>odnětí svobody</w:t>
      </w:r>
      <w:r w:rsidR="00F47784" w:rsidRPr="00CB7775">
        <w:rPr>
          <w:bCs/>
        </w:rPr>
        <w:t>, jestliže naplní kvalifikovanou skutkovou podstatu a spáchá tento trestný čin ve</w:t>
      </w:r>
      <w:r w:rsidR="00BD37F1">
        <w:rPr>
          <w:bCs/>
        </w:rPr>
        <w:t> </w:t>
      </w:r>
      <w:r w:rsidR="00F47784" w:rsidRPr="00CB7775">
        <w:rPr>
          <w:bCs/>
        </w:rPr>
        <w:t>velkém rozsahu.</w:t>
      </w:r>
    </w:p>
    <w:p w:rsidR="00661987" w:rsidRDefault="00B55543" w:rsidP="00661987">
      <w:r w:rsidRPr="00CB7775">
        <w:t xml:space="preserve">Mezi další daňové trestné činy pak náleží </w:t>
      </w:r>
      <w:r w:rsidRPr="00CB7775">
        <w:rPr>
          <w:i/>
        </w:rPr>
        <w:t xml:space="preserve">neodvedení daně, pojistného na sociální zabezpečení a podobné povinné platby </w:t>
      </w:r>
      <w:r w:rsidRPr="00CB7775">
        <w:t xml:space="preserve">(srov. § 241 trestního zákoníku) či </w:t>
      </w:r>
      <w:r w:rsidRPr="00CB7775">
        <w:rPr>
          <w:i/>
        </w:rPr>
        <w:t>nesplnění oznamovací povinnosti v daňovém řízení</w:t>
      </w:r>
      <w:r w:rsidRPr="00CB7775">
        <w:t xml:space="preserve"> (srov. </w:t>
      </w:r>
      <w:r w:rsidR="00661987" w:rsidRPr="00CB7775">
        <w:t>§ 243 trestního zákoníku</w:t>
      </w:r>
      <w:r w:rsidRPr="00CB7775">
        <w:t>) a další.</w:t>
      </w:r>
    </w:p>
    <w:p w:rsidR="009A7A7D" w:rsidRPr="00CB7775" w:rsidRDefault="009A7A7D" w:rsidP="00661987">
      <w:r>
        <w:t>Pravomocné odsouzení pro daňový trestný čin prolamuje lhůt</w:t>
      </w:r>
      <w:r w:rsidR="009117DB">
        <w:t>u</w:t>
      </w:r>
      <w:r>
        <w:t xml:space="preserve"> pro stanovení daně. V důsledku jednání, které bylo předmětem pravomocného rozhodnutí soudu o spáchání daňového trestného činu, lze daň stanovit do konce roku následujícího po roce, v němž nabylo rozhodnutí soudu právní moci, bez ohledu na to, zda již uplynula lhůta pro stanovení daně</w:t>
      </w:r>
      <w:r w:rsidR="007314E8">
        <w:t xml:space="preserve"> (§ 148 odst. 6 daňového řádu)</w:t>
      </w:r>
      <w:r>
        <w:t>.</w:t>
      </w:r>
    </w:p>
    <w:p w:rsidR="00054329" w:rsidRPr="00CB7775" w:rsidRDefault="00EC6342" w:rsidP="00661987">
      <w:r w:rsidRPr="00CB7775">
        <w:rPr>
          <w:bCs/>
        </w:rPr>
        <w:t xml:space="preserve">Propojení správy daní a trestního práva skrze </w:t>
      </w:r>
      <w:r w:rsidR="00054329" w:rsidRPr="00CB7775">
        <w:rPr>
          <w:bCs/>
        </w:rPr>
        <w:t>daňov</w:t>
      </w:r>
      <w:r w:rsidRPr="00CB7775">
        <w:rPr>
          <w:bCs/>
        </w:rPr>
        <w:t>é</w:t>
      </w:r>
      <w:r w:rsidR="00054329" w:rsidRPr="00CB7775">
        <w:rPr>
          <w:bCs/>
        </w:rPr>
        <w:t xml:space="preserve"> trestn</w:t>
      </w:r>
      <w:r w:rsidRPr="00CB7775">
        <w:rPr>
          <w:bCs/>
        </w:rPr>
        <w:t>é</w:t>
      </w:r>
      <w:r w:rsidR="00054329" w:rsidRPr="00CB7775">
        <w:rPr>
          <w:bCs/>
        </w:rPr>
        <w:t xml:space="preserve"> </w:t>
      </w:r>
      <w:r w:rsidRPr="00CB7775">
        <w:rPr>
          <w:bCs/>
        </w:rPr>
        <w:t xml:space="preserve">činy </w:t>
      </w:r>
      <w:r w:rsidR="00054329" w:rsidRPr="00CB7775">
        <w:rPr>
          <w:bCs/>
        </w:rPr>
        <w:t xml:space="preserve">se </w:t>
      </w:r>
      <w:r w:rsidR="00B55543" w:rsidRPr="00CB7775">
        <w:rPr>
          <w:bCs/>
        </w:rPr>
        <w:t>ne</w:t>
      </w:r>
      <w:r w:rsidR="00054329" w:rsidRPr="00CB7775">
        <w:rPr>
          <w:bCs/>
        </w:rPr>
        <w:t>projevuje</w:t>
      </w:r>
      <w:r w:rsidR="00B55543" w:rsidRPr="00CB7775">
        <w:rPr>
          <w:bCs/>
        </w:rPr>
        <w:t xml:space="preserve"> pouze samotnou existencí daňových trestných činů, ale</w:t>
      </w:r>
      <w:r w:rsidRPr="00CB7775">
        <w:rPr>
          <w:bCs/>
        </w:rPr>
        <w:t xml:space="preserve"> </w:t>
      </w:r>
      <w:r w:rsidR="00054329" w:rsidRPr="00CB7775">
        <w:rPr>
          <w:bCs/>
        </w:rPr>
        <w:t>rovněž spolupr</w:t>
      </w:r>
      <w:r w:rsidRPr="00CB7775">
        <w:rPr>
          <w:bCs/>
        </w:rPr>
        <w:t>a</w:t>
      </w:r>
      <w:r w:rsidR="00054329" w:rsidRPr="00CB7775">
        <w:rPr>
          <w:bCs/>
        </w:rPr>
        <w:t>c</w:t>
      </w:r>
      <w:r w:rsidRPr="00CB7775">
        <w:rPr>
          <w:bCs/>
        </w:rPr>
        <w:t>í</w:t>
      </w:r>
      <w:r w:rsidR="00054329" w:rsidRPr="00CB7775">
        <w:rPr>
          <w:bCs/>
        </w:rPr>
        <w:t xml:space="preserve"> správce daně a orgánů činných v trestním řízení</w:t>
      </w:r>
      <w:r w:rsidRPr="00CB7775">
        <w:rPr>
          <w:bCs/>
        </w:rPr>
        <w:t xml:space="preserve">. Za konkrétní projev lze označit </w:t>
      </w:r>
      <w:r w:rsidR="00054329" w:rsidRPr="00CB7775">
        <w:rPr>
          <w:bCs/>
        </w:rPr>
        <w:t>normov</w:t>
      </w:r>
      <w:r w:rsidRPr="00CB7775">
        <w:rPr>
          <w:bCs/>
        </w:rPr>
        <w:t>ané</w:t>
      </w:r>
      <w:r w:rsidR="00054329" w:rsidRPr="00CB7775">
        <w:rPr>
          <w:bCs/>
        </w:rPr>
        <w:t xml:space="preserve"> </w:t>
      </w:r>
      <w:r w:rsidRPr="00CB7775">
        <w:rPr>
          <w:bCs/>
        </w:rPr>
        <w:t>p</w:t>
      </w:r>
      <w:r w:rsidR="00054329" w:rsidRPr="00CB7775">
        <w:rPr>
          <w:bCs/>
        </w:rPr>
        <w:t xml:space="preserve">rolomení mlčenlivosti správce daně vůči orgánům </w:t>
      </w:r>
      <w:r w:rsidRPr="00CB7775">
        <w:rPr>
          <w:bCs/>
        </w:rPr>
        <w:t xml:space="preserve">činným v trestním řízení </w:t>
      </w:r>
      <w:r w:rsidR="00054329" w:rsidRPr="00CB7775">
        <w:rPr>
          <w:bCs/>
        </w:rPr>
        <w:t xml:space="preserve">právě v případě daňových trestných činů (viz § 53 </w:t>
      </w:r>
      <w:r w:rsidRPr="00CB7775">
        <w:rPr>
          <w:bCs/>
        </w:rPr>
        <w:t xml:space="preserve">odst. 2 </w:t>
      </w:r>
      <w:r w:rsidR="00054329" w:rsidRPr="00CB7775">
        <w:rPr>
          <w:bCs/>
        </w:rPr>
        <w:t>daňového řádu</w:t>
      </w:r>
      <w:r w:rsidRPr="00CB7775">
        <w:rPr>
          <w:bCs/>
        </w:rPr>
        <w:t>, resp</w:t>
      </w:r>
      <w:r w:rsidR="00860E12">
        <w:rPr>
          <w:bCs/>
        </w:rPr>
        <w:t>.</w:t>
      </w:r>
      <w:r w:rsidRPr="00CB7775">
        <w:rPr>
          <w:bCs/>
        </w:rPr>
        <w:t xml:space="preserve"> § 71a zákona č. 273/2008 Sb., o Policii České republiky, ve znění pozdějších předpisů)</w:t>
      </w:r>
    </w:p>
    <w:p w:rsidR="00661987" w:rsidRPr="00661987" w:rsidRDefault="00661987" w:rsidP="00F11574">
      <w:pPr>
        <w:pStyle w:val="text"/>
        <w:keepNext/>
        <w:ind w:firstLine="0"/>
        <w:rPr>
          <w:b/>
        </w:rPr>
      </w:pPr>
      <w:r>
        <w:rPr>
          <w:b/>
          <w:bCs/>
        </w:rPr>
        <w:lastRenderedPageBreak/>
        <w:t xml:space="preserve">Ad </w:t>
      </w:r>
      <w:r w:rsidR="00BE48F7">
        <w:rPr>
          <w:b/>
          <w:bCs/>
        </w:rPr>
        <w:t>1.1.</w:t>
      </w:r>
      <w:r>
        <w:rPr>
          <w:b/>
          <w:bCs/>
        </w:rPr>
        <w:t>d)</w:t>
      </w:r>
      <w:r w:rsidRPr="00661987">
        <w:rPr>
          <w:b/>
          <w:bCs/>
        </w:rPr>
        <w:t xml:space="preserve"> </w:t>
      </w:r>
      <w:r w:rsidRPr="00661987">
        <w:rPr>
          <w:b/>
        </w:rPr>
        <w:t>Zákon o střetu zájmů</w:t>
      </w:r>
    </w:p>
    <w:p w:rsidR="00661987" w:rsidRDefault="00CB7775" w:rsidP="00661987">
      <w:r w:rsidRPr="00CB7775">
        <w:t>Dalším významným nástrojem</w:t>
      </w:r>
      <w:r>
        <w:t xml:space="preserve"> v rámci prokazování původu majetku je právní úprava zákona o střetu zájmů.</w:t>
      </w:r>
    </w:p>
    <w:p w:rsidR="00661987" w:rsidRDefault="00661987" w:rsidP="00661987">
      <w:r>
        <w:t>Úprava zákona o střetu zájmu dopadá n</w:t>
      </w:r>
      <w:r w:rsidR="000E3F0A">
        <w:t>a</w:t>
      </w:r>
      <w:r>
        <w:t xml:space="preserve"> veřejné funkcionáře, kteří jsou vymezeni v § 2</w:t>
      </w:r>
      <w:r w:rsidR="00CB7775">
        <w:t xml:space="preserve"> tohoto zákona</w:t>
      </w:r>
      <w:r>
        <w:t>. Za účelem jejich veřejné kontroly mají stanovenou povinnost podávat po celou dobu výkonu funkce oznámení:</w:t>
      </w:r>
    </w:p>
    <w:p w:rsidR="00661987" w:rsidRPr="005328F6" w:rsidRDefault="00661987" w:rsidP="00B85A1E">
      <w:pPr>
        <w:pStyle w:val="Odstavecseseznamem"/>
        <w:numPr>
          <w:ilvl w:val="0"/>
          <w:numId w:val="21"/>
        </w:numPr>
        <w:spacing w:after="60"/>
        <w:ind w:left="714" w:hanging="357"/>
        <w:rPr>
          <w:rFonts w:ascii="Times New Roman" w:hAnsi="Times New Roman" w:cs="Times New Roman"/>
          <w:bCs/>
          <w:sz w:val="24"/>
          <w:szCs w:val="24"/>
        </w:rPr>
      </w:pPr>
      <w:r>
        <w:rPr>
          <w:rFonts w:ascii="Times New Roman" w:hAnsi="Times New Roman" w:cs="Times New Roman"/>
          <w:bCs/>
          <w:sz w:val="24"/>
          <w:szCs w:val="24"/>
        </w:rPr>
        <w:t xml:space="preserve">o </w:t>
      </w:r>
      <w:r w:rsidRPr="005328F6">
        <w:rPr>
          <w:rFonts w:ascii="Times New Roman" w:hAnsi="Times New Roman" w:cs="Times New Roman"/>
          <w:bCs/>
          <w:sz w:val="24"/>
          <w:szCs w:val="24"/>
        </w:rPr>
        <w:t>osobním zájmu (</w:t>
      </w:r>
      <w:r>
        <w:rPr>
          <w:rFonts w:ascii="Times New Roman" w:hAnsi="Times New Roman" w:cs="Times New Roman"/>
          <w:bCs/>
          <w:sz w:val="24"/>
          <w:szCs w:val="24"/>
        </w:rPr>
        <w:t>§ 8 zákona o střetu zájm</w:t>
      </w:r>
      <w:r w:rsidR="00557355">
        <w:rPr>
          <w:rFonts w:ascii="Times New Roman" w:hAnsi="Times New Roman" w:cs="Times New Roman"/>
          <w:bCs/>
          <w:sz w:val="24"/>
          <w:szCs w:val="24"/>
        </w:rPr>
        <w:t>ů</w:t>
      </w:r>
      <w:r>
        <w:rPr>
          <w:rFonts w:ascii="Times New Roman" w:hAnsi="Times New Roman" w:cs="Times New Roman"/>
          <w:bCs/>
          <w:sz w:val="24"/>
          <w:szCs w:val="24"/>
        </w:rPr>
        <w:t>),</w:t>
      </w:r>
    </w:p>
    <w:p w:rsidR="00661987" w:rsidRPr="005328F6" w:rsidRDefault="00661987" w:rsidP="00B85A1E">
      <w:pPr>
        <w:pStyle w:val="Odstavecseseznamem"/>
        <w:numPr>
          <w:ilvl w:val="0"/>
          <w:numId w:val="21"/>
        </w:numPr>
        <w:spacing w:after="60"/>
        <w:ind w:left="714" w:hanging="357"/>
        <w:rPr>
          <w:rFonts w:ascii="Times New Roman" w:hAnsi="Times New Roman" w:cs="Times New Roman"/>
          <w:bCs/>
          <w:sz w:val="24"/>
          <w:szCs w:val="24"/>
        </w:rPr>
      </w:pPr>
      <w:r>
        <w:rPr>
          <w:rFonts w:ascii="Times New Roman" w:hAnsi="Times New Roman" w:cs="Times New Roman"/>
          <w:bCs/>
          <w:sz w:val="24"/>
          <w:szCs w:val="24"/>
        </w:rPr>
        <w:t xml:space="preserve">o </w:t>
      </w:r>
      <w:r w:rsidRPr="005328F6">
        <w:rPr>
          <w:rFonts w:ascii="Times New Roman" w:hAnsi="Times New Roman" w:cs="Times New Roman"/>
          <w:bCs/>
          <w:sz w:val="24"/>
          <w:szCs w:val="24"/>
        </w:rPr>
        <w:t>činnostech</w:t>
      </w:r>
      <w:r>
        <w:rPr>
          <w:rFonts w:ascii="Times New Roman" w:hAnsi="Times New Roman" w:cs="Times New Roman"/>
          <w:bCs/>
          <w:sz w:val="24"/>
          <w:szCs w:val="24"/>
        </w:rPr>
        <w:t xml:space="preserve"> </w:t>
      </w:r>
      <w:r w:rsidRPr="005328F6">
        <w:rPr>
          <w:rFonts w:ascii="Times New Roman" w:hAnsi="Times New Roman" w:cs="Times New Roman"/>
          <w:sz w:val="24"/>
          <w:szCs w:val="24"/>
        </w:rPr>
        <w:t>konaných vedle výkonu funkce veřejného funkcionáře</w:t>
      </w:r>
      <w:r w:rsidRPr="005328F6">
        <w:rPr>
          <w:rFonts w:ascii="Times New Roman" w:hAnsi="Times New Roman" w:cs="Times New Roman"/>
          <w:bCs/>
          <w:sz w:val="24"/>
          <w:szCs w:val="24"/>
        </w:rPr>
        <w:t xml:space="preserve"> </w:t>
      </w:r>
      <w:r w:rsidRPr="00AE688A">
        <w:rPr>
          <w:rFonts w:ascii="Times New Roman" w:hAnsi="Times New Roman" w:cs="Times New Roman"/>
          <w:bCs/>
          <w:sz w:val="24"/>
          <w:szCs w:val="24"/>
        </w:rPr>
        <w:t>(</w:t>
      </w:r>
      <w:r>
        <w:rPr>
          <w:rFonts w:ascii="Times New Roman" w:hAnsi="Times New Roman" w:cs="Times New Roman"/>
          <w:bCs/>
          <w:sz w:val="24"/>
          <w:szCs w:val="24"/>
        </w:rPr>
        <w:t>§ 9 zákona o</w:t>
      </w:r>
      <w:r w:rsidR="00B65FE8">
        <w:rPr>
          <w:rFonts w:ascii="Times New Roman" w:hAnsi="Times New Roman" w:cs="Times New Roman"/>
          <w:bCs/>
          <w:sz w:val="24"/>
          <w:szCs w:val="24"/>
        </w:rPr>
        <w:t> </w:t>
      </w:r>
      <w:r>
        <w:rPr>
          <w:rFonts w:ascii="Times New Roman" w:hAnsi="Times New Roman" w:cs="Times New Roman"/>
          <w:bCs/>
          <w:sz w:val="24"/>
          <w:szCs w:val="24"/>
        </w:rPr>
        <w:t>střetu zájm</w:t>
      </w:r>
      <w:r w:rsidR="00557355">
        <w:rPr>
          <w:rFonts w:ascii="Times New Roman" w:hAnsi="Times New Roman" w:cs="Times New Roman"/>
          <w:bCs/>
          <w:sz w:val="24"/>
          <w:szCs w:val="24"/>
        </w:rPr>
        <w:t>ů</w:t>
      </w:r>
      <w:r>
        <w:rPr>
          <w:rFonts w:ascii="Times New Roman" w:hAnsi="Times New Roman" w:cs="Times New Roman"/>
          <w:bCs/>
          <w:sz w:val="24"/>
          <w:szCs w:val="24"/>
        </w:rPr>
        <w:t>),</w:t>
      </w:r>
    </w:p>
    <w:p w:rsidR="00661987" w:rsidRPr="005328F6" w:rsidRDefault="00661987" w:rsidP="00B85A1E">
      <w:pPr>
        <w:pStyle w:val="Odstavecseseznamem"/>
        <w:numPr>
          <w:ilvl w:val="0"/>
          <w:numId w:val="21"/>
        </w:numPr>
        <w:spacing w:after="60"/>
        <w:ind w:left="714" w:hanging="357"/>
        <w:rPr>
          <w:rFonts w:ascii="Times New Roman" w:hAnsi="Times New Roman" w:cs="Times New Roman"/>
          <w:bCs/>
          <w:sz w:val="24"/>
          <w:szCs w:val="24"/>
        </w:rPr>
      </w:pPr>
      <w:r>
        <w:rPr>
          <w:rFonts w:ascii="Times New Roman" w:hAnsi="Times New Roman" w:cs="Times New Roman"/>
          <w:bCs/>
          <w:sz w:val="24"/>
          <w:szCs w:val="24"/>
        </w:rPr>
        <w:t xml:space="preserve">o </w:t>
      </w:r>
      <w:r w:rsidRPr="005328F6">
        <w:rPr>
          <w:rFonts w:ascii="Times New Roman" w:hAnsi="Times New Roman" w:cs="Times New Roman"/>
          <w:bCs/>
          <w:sz w:val="24"/>
          <w:szCs w:val="24"/>
        </w:rPr>
        <w:t>majetku nabytém v průběhu výkonu funkce (</w:t>
      </w:r>
      <w:r>
        <w:rPr>
          <w:rFonts w:ascii="Times New Roman" w:hAnsi="Times New Roman" w:cs="Times New Roman"/>
          <w:bCs/>
          <w:sz w:val="24"/>
          <w:szCs w:val="24"/>
        </w:rPr>
        <w:t>§ 10 zákona o střetu zájm</w:t>
      </w:r>
      <w:r w:rsidR="00557355">
        <w:rPr>
          <w:rFonts w:ascii="Times New Roman" w:hAnsi="Times New Roman" w:cs="Times New Roman"/>
          <w:bCs/>
          <w:sz w:val="24"/>
          <w:szCs w:val="24"/>
        </w:rPr>
        <w:t>ů</w:t>
      </w:r>
      <w:r>
        <w:rPr>
          <w:rFonts w:ascii="Times New Roman" w:hAnsi="Times New Roman" w:cs="Times New Roman"/>
          <w:bCs/>
          <w:sz w:val="24"/>
          <w:szCs w:val="24"/>
        </w:rPr>
        <w:t>),</w:t>
      </w:r>
    </w:p>
    <w:p w:rsidR="00661987" w:rsidRDefault="00661987" w:rsidP="00B85A1E">
      <w:pPr>
        <w:pStyle w:val="Odstavecseseznamem"/>
        <w:numPr>
          <w:ilvl w:val="0"/>
          <w:numId w:val="21"/>
        </w:numPr>
        <w:spacing w:after="60"/>
        <w:ind w:left="714" w:hanging="357"/>
      </w:pPr>
      <w:r>
        <w:rPr>
          <w:rFonts w:ascii="Times New Roman" w:hAnsi="Times New Roman" w:cs="Times New Roman"/>
          <w:bCs/>
          <w:sz w:val="24"/>
          <w:szCs w:val="24"/>
        </w:rPr>
        <w:t xml:space="preserve">o </w:t>
      </w:r>
      <w:r w:rsidRPr="005328F6">
        <w:rPr>
          <w:rFonts w:ascii="Times New Roman" w:hAnsi="Times New Roman" w:cs="Times New Roman"/>
          <w:bCs/>
          <w:sz w:val="24"/>
          <w:szCs w:val="24"/>
        </w:rPr>
        <w:t>příjmech, darech</w:t>
      </w:r>
      <w:r>
        <w:rPr>
          <w:rFonts w:ascii="Times New Roman" w:hAnsi="Times New Roman" w:cs="Times New Roman"/>
          <w:bCs/>
          <w:sz w:val="24"/>
          <w:szCs w:val="24"/>
        </w:rPr>
        <w:t xml:space="preserve"> získaných během výkonu funkce</w:t>
      </w:r>
      <w:r w:rsidRPr="005328F6">
        <w:rPr>
          <w:rFonts w:ascii="Times New Roman" w:hAnsi="Times New Roman" w:cs="Times New Roman"/>
          <w:bCs/>
          <w:sz w:val="24"/>
          <w:szCs w:val="24"/>
        </w:rPr>
        <w:t xml:space="preserve"> a závazcích (§ 11</w:t>
      </w:r>
      <w:r>
        <w:rPr>
          <w:rFonts w:ascii="Times New Roman" w:hAnsi="Times New Roman" w:cs="Times New Roman"/>
          <w:bCs/>
          <w:sz w:val="24"/>
          <w:szCs w:val="24"/>
        </w:rPr>
        <w:t xml:space="preserve"> </w:t>
      </w:r>
      <w:r w:rsidRPr="005328F6">
        <w:rPr>
          <w:rFonts w:ascii="Times New Roman" w:hAnsi="Times New Roman" w:cs="Times New Roman"/>
          <w:bCs/>
          <w:sz w:val="24"/>
          <w:szCs w:val="24"/>
        </w:rPr>
        <w:t>zákona o střetu zájm</w:t>
      </w:r>
      <w:r w:rsidR="00557355">
        <w:rPr>
          <w:rFonts w:ascii="Times New Roman" w:hAnsi="Times New Roman" w:cs="Times New Roman"/>
          <w:bCs/>
          <w:sz w:val="24"/>
          <w:szCs w:val="24"/>
        </w:rPr>
        <w:t>ů</w:t>
      </w:r>
      <w:r w:rsidRPr="005328F6">
        <w:rPr>
          <w:rFonts w:ascii="Times New Roman" w:hAnsi="Times New Roman" w:cs="Times New Roman"/>
          <w:bCs/>
          <w:sz w:val="24"/>
          <w:szCs w:val="24"/>
        </w:rPr>
        <w:t>)</w:t>
      </w:r>
      <w:r w:rsidRPr="0050340F">
        <w:t xml:space="preserve"> </w:t>
      </w:r>
    </w:p>
    <w:p w:rsidR="00661987" w:rsidRDefault="007B7590" w:rsidP="00661987">
      <w:r>
        <w:t>Zákon</w:t>
      </w:r>
      <w:r w:rsidR="00661987">
        <w:t xml:space="preserve"> taxativně vymez</w:t>
      </w:r>
      <w:r>
        <w:t>uje</w:t>
      </w:r>
      <w:r w:rsidR="00661987">
        <w:t xml:space="preserve"> povinně uváděné položky</w:t>
      </w:r>
      <w:r>
        <w:t xml:space="preserve"> jednotlivých oznámení</w:t>
      </w:r>
      <w:r w:rsidR="00661987">
        <w:t xml:space="preserve"> a lhůty, ve</w:t>
      </w:r>
      <w:r w:rsidR="00B65FE8">
        <w:t> </w:t>
      </w:r>
      <w:r w:rsidR="00661987">
        <w:t>kter</w:t>
      </w:r>
      <w:r w:rsidR="00F21FC2">
        <w:t>ých</w:t>
      </w:r>
      <w:r w:rsidR="00661987">
        <w:t xml:space="preserve"> je nutné </w:t>
      </w:r>
      <w:r>
        <w:t xml:space="preserve">jej </w:t>
      </w:r>
      <w:r w:rsidR="00661987">
        <w:t>podat evidenčnímu orgánu (vymezen v § 14 zákona o střetu zájm</w:t>
      </w:r>
      <w:r w:rsidR="006F4B99">
        <w:t>ů</w:t>
      </w:r>
      <w:r w:rsidR="00661987">
        <w:t xml:space="preserve"> pro jednotlivé veřejné funkcionáře). Příslušný evidenční orgán vede registr všech oznámení podávaných veřejnými funkcionáři (</w:t>
      </w:r>
      <w:r w:rsidR="00451C56">
        <w:t xml:space="preserve">srov. </w:t>
      </w:r>
      <w:r w:rsidR="00661987">
        <w:t>§ 13 zákona o střetu zájm</w:t>
      </w:r>
      <w:r w:rsidR="006F4B99">
        <w:t>ů</w:t>
      </w:r>
      <w:r w:rsidR="00661987">
        <w:t>) i v elektronické podobě.</w:t>
      </w:r>
    </w:p>
    <w:p w:rsidR="00661987" w:rsidRDefault="007B7590" w:rsidP="00661987">
      <w:r>
        <w:t>Po</w:t>
      </w:r>
      <w:r w:rsidR="00661987">
        <w:t xml:space="preserve">dle § 13 odst. 2 </w:t>
      </w:r>
      <w:r>
        <w:t xml:space="preserve">zákona o střetu zájmů má každý právo </w:t>
      </w:r>
      <w:r w:rsidR="00661987">
        <w:t xml:space="preserve">na základě písemné žádosti bezplatně nahlížet osobně u evidenčního orgánu nebo v elektronické podobě prostřednictvím veřejné datové sítě do registru a pořizovat si z něj opisy a výpisy. </w:t>
      </w:r>
      <w:r w:rsidR="00EB2ADF">
        <w:t>M</w:t>
      </w:r>
      <w:r w:rsidR="00BC0382">
        <w:t xml:space="preserve">ožnost </w:t>
      </w:r>
      <w:r w:rsidR="00EB2ADF">
        <w:t xml:space="preserve">získávat informace spravované evidenčním orgánem </w:t>
      </w:r>
      <w:r w:rsidR="00BC0382">
        <w:t>je svěřena rovněž správci daně</w:t>
      </w:r>
      <w:r>
        <w:t>. Tato pravomoc vyplývá jednak ze zákona o střetu zájmů (viz § 13 odst. 2) a jednak z</w:t>
      </w:r>
      <w:r w:rsidR="00BC0382">
        <w:t xml:space="preserve"> </w:t>
      </w:r>
      <w:r>
        <w:t xml:space="preserve">obecné </w:t>
      </w:r>
      <w:r w:rsidR="00BC0382">
        <w:t>úpravy daňového řádu. Pokud se totiž jedná o údaje potřebné pro správu daní, mají orgány veřejné moci</w:t>
      </w:r>
      <w:r w:rsidR="006F5949">
        <w:t xml:space="preserve"> a osoby, které těmito nezbytnými údaji disponují, povinnost tyto údaje správci daně na jeho žádost sdělit, a to bezúplatně (blíže srov. § 57 a 58 daňového řádu). </w:t>
      </w:r>
      <w:r>
        <w:t>Mezi tyto orgány patří</w:t>
      </w:r>
      <w:r w:rsidR="006F5949">
        <w:t xml:space="preserve"> i orgány</w:t>
      </w:r>
      <w:r w:rsidR="00BC0382">
        <w:t>, jež plní funkci evidenčního orgánu podle zákona o střetu zájmů</w:t>
      </w:r>
      <w:r w:rsidR="006F5949">
        <w:t>.</w:t>
      </w:r>
      <w:r w:rsidR="00BC0382">
        <w:t xml:space="preserve"> </w:t>
      </w:r>
      <w:r w:rsidR="00EB2ADF">
        <w:t>Správce daně</w:t>
      </w:r>
      <w:r>
        <w:t xml:space="preserve"> je povinen</w:t>
      </w:r>
      <w:r w:rsidR="00EB2ADF">
        <w:t xml:space="preserve"> </w:t>
      </w:r>
      <w:r>
        <w:t xml:space="preserve">brát v potaz základní zásady správy daní a </w:t>
      </w:r>
      <w:r w:rsidR="00EB2ADF">
        <w:t>mimo jiné postup</w:t>
      </w:r>
      <w:r w:rsidR="006F5949">
        <w:t>ovat</w:t>
      </w:r>
      <w:r w:rsidR="00EB2ADF">
        <w:t xml:space="preserve"> tak, aby nikomu nevznikaly zbytečné náklady (zásada hospodárnosti)</w:t>
      </w:r>
      <w:r>
        <w:t xml:space="preserve">. Je proto </w:t>
      </w:r>
      <w:r w:rsidR="00BC0382">
        <w:t xml:space="preserve">nezbytné zachovat proporcionalitu </w:t>
      </w:r>
      <w:r w:rsidR="00EB2ADF">
        <w:t>mezi požadovanými údaji (zejména jejich rozsahem)</w:t>
      </w:r>
      <w:r w:rsidR="00BC0382">
        <w:t xml:space="preserve"> </w:t>
      </w:r>
      <w:r w:rsidR="00EB2ADF">
        <w:t>a jejich nezbytností pro správu daní.</w:t>
      </w:r>
    </w:p>
    <w:p w:rsidR="00E256FD" w:rsidRPr="00661987" w:rsidRDefault="00661987" w:rsidP="00661987">
      <w:pPr>
        <w:pStyle w:val="text"/>
        <w:keepNext/>
        <w:ind w:firstLine="0"/>
        <w:rPr>
          <w:b/>
        </w:rPr>
      </w:pPr>
      <w:r w:rsidRPr="00661987">
        <w:rPr>
          <w:b/>
          <w:bCs/>
        </w:rPr>
        <w:t xml:space="preserve">Ad </w:t>
      </w:r>
      <w:r w:rsidR="00BE48F7">
        <w:rPr>
          <w:b/>
          <w:bCs/>
        </w:rPr>
        <w:t>1.2.</w:t>
      </w:r>
      <w:r w:rsidRPr="00661987">
        <w:rPr>
          <w:b/>
          <w:bCs/>
        </w:rPr>
        <w:t>a)</w:t>
      </w:r>
      <w:r w:rsidR="00652651" w:rsidRPr="00661987">
        <w:rPr>
          <w:b/>
          <w:bCs/>
        </w:rPr>
        <w:t xml:space="preserve"> </w:t>
      </w:r>
      <w:r w:rsidR="00E256FD" w:rsidRPr="00661987">
        <w:rPr>
          <w:b/>
        </w:rPr>
        <w:t xml:space="preserve">Stanovení daně </w:t>
      </w:r>
      <w:r w:rsidR="00DD19D2" w:rsidRPr="00661987">
        <w:rPr>
          <w:b/>
        </w:rPr>
        <w:t>po</w:t>
      </w:r>
      <w:r w:rsidR="00E256FD" w:rsidRPr="00661987">
        <w:rPr>
          <w:b/>
        </w:rPr>
        <w:t xml:space="preserve">dle pomůcek </w:t>
      </w:r>
    </w:p>
    <w:p w:rsidR="00E256FD" w:rsidRDefault="00DD19D2" w:rsidP="00E256FD">
      <w:pPr>
        <w:rPr>
          <w:bCs/>
        </w:rPr>
      </w:pPr>
      <w:r>
        <w:rPr>
          <w:bCs/>
        </w:rPr>
        <w:t xml:space="preserve">Stanovení daně podle pomůcek je jedním ze způsobů, kterými lze </w:t>
      </w:r>
      <w:r w:rsidRPr="006F4B99">
        <w:rPr>
          <w:bCs/>
          <w:i/>
        </w:rPr>
        <w:t>de lege lata</w:t>
      </w:r>
      <w:r>
        <w:rPr>
          <w:bCs/>
        </w:rPr>
        <w:t xml:space="preserve"> stanovit daň. </w:t>
      </w:r>
      <w:r w:rsidR="00E256FD" w:rsidRPr="00DB5BDB">
        <w:rPr>
          <w:bCs/>
        </w:rPr>
        <w:t>Daňový řád upřednostňuje stanovení daně dokazováním, neboť správné zjištění a stanovení daně je prvořadým cílem správy dan</w:t>
      </w:r>
      <w:r w:rsidR="006F4B99">
        <w:rPr>
          <w:bCs/>
        </w:rPr>
        <w:t>í</w:t>
      </w:r>
      <w:r w:rsidR="00E256FD" w:rsidRPr="00DB5BDB">
        <w:rPr>
          <w:bCs/>
        </w:rPr>
        <w:t xml:space="preserve"> (</w:t>
      </w:r>
      <w:r w:rsidR="00451C56">
        <w:rPr>
          <w:bCs/>
        </w:rPr>
        <w:t xml:space="preserve">srov. </w:t>
      </w:r>
      <w:r w:rsidR="00E256FD" w:rsidRPr="00DB5BDB">
        <w:rPr>
          <w:bCs/>
        </w:rPr>
        <w:t>§ 1</w:t>
      </w:r>
      <w:r w:rsidR="00E256FD">
        <w:rPr>
          <w:bCs/>
        </w:rPr>
        <w:t xml:space="preserve"> daňového řádu</w:t>
      </w:r>
      <w:r w:rsidR="00E256FD" w:rsidRPr="00DB5BDB">
        <w:rPr>
          <w:bCs/>
        </w:rPr>
        <w:t xml:space="preserve">). </w:t>
      </w:r>
      <w:r w:rsidR="00E256FD">
        <w:rPr>
          <w:bCs/>
        </w:rPr>
        <w:t>Z</w:t>
      </w:r>
      <w:r w:rsidR="00E256FD" w:rsidRPr="002C5162">
        <w:rPr>
          <w:bCs/>
        </w:rPr>
        <w:t>áklad</w:t>
      </w:r>
      <w:r w:rsidR="00E256FD">
        <w:rPr>
          <w:bCs/>
        </w:rPr>
        <w:t>em</w:t>
      </w:r>
      <w:r w:rsidR="00E256FD" w:rsidRPr="002C5162">
        <w:rPr>
          <w:bCs/>
        </w:rPr>
        <w:t xml:space="preserve"> </w:t>
      </w:r>
      <w:r w:rsidR="00E256FD">
        <w:rPr>
          <w:bCs/>
        </w:rPr>
        <w:t>pro dosažení tohoto cíle</w:t>
      </w:r>
      <w:r w:rsidR="00E256FD" w:rsidRPr="002C5162">
        <w:rPr>
          <w:bCs/>
        </w:rPr>
        <w:t xml:space="preserve"> </w:t>
      </w:r>
      <w:r w:rsidR="00E256FD">
        <w:rPr>
          <w:bCs/>
        </w:rPr>
        <w:t xml:space="preserve">je </w:t>
      </w:r>
      <w:r w:rsidR="00E256FD" w:rsidRPr="002C5162">
        <w:rPr>
          <w:bCs/>
        </w:rPr>
        <w:t>řádné daňové tvrzení, případně dodatečné daňové t</w:t>
      </w:r>
      <w:r w:rsidR="00E256FD">
        <w:rPr>
          <w:bCs/>
        </w:rPr>
        <w:t xml:space="preserve">vrzení podané daňovým subjektem. </w:t>
      </w:r>
      <w:r>
        <w:rPr>
          <w:bCs/>
        </w:rPr>
        <w:t>P</w:t>
      </w:r>
      <w:r w:rsidR="00E256FD">
        <w:rPr>
          <w:bCs/>
        </w:rPr>
        <w:t>ro</w:t>
      </w:r>
      <w:r w:rsidR="00B65FE8">
        <w:rPr>
          <w:bCs/>
        </w:rPr>
        <w:t> </w:t>
      </w:r>
      <w:r w:rsidR="00E256FD">
        <w:rPr>
          <w:bCs/>
        </w:rPr>
        <w:t>daňový subjekt</w:t>
      </w:r>
      <w:r>
        <w:rPr>
          <w:bCs/>
        </w:rPr>
        <w:t xml:space="preserve"> z toho vyplývá</w:t>
      </w:r>
      <w:r w:rsidR="00E256FD">
        <w:rPr>
          <w:bCs/>
        </w:rPr>
        <w:t xml:space="preserve"> dů</w:t>
      </w:r>
      <w:r w:rsidR="00E256FD" w:rsidRPr="002C5162">
        <w:rPr>
          <w:bCs/>
        </w:rPr>
        <w:t>kazní povinnost a s tím související</w:t>
      </w:r>
      <w:r>
        <w:rPr>
          <w:bCs/>
        </w:rPr>
        <w:t xml:space="preserve"> důkazní</w:t>
      </w:r>
      <w:r w:rsidR="00E256FD" w:rsidRPr="002C5162">
        <w:rPr>
          <w:bCs/>
        </w:rPr>
        <w:t xml:space="preserve"> břemeno</w:t>
      </w:r>
      <w:r>
        <w:rPr>
          <w:bCs/>
        </w:rPr>
        <w:t>. Daňový subjekt má</w:t>
      </w:r>
      <w:r w:rsidR="00E256FD" w:rsidRPr="002C5162">
        <w:rPr>
          <w:bCs/>
        </w:rPr>
        <w:t xml:space="preserve"> </w:t>
      </w:r>
      <w:r w:rsidR="005733FB">
        <w:rPr>
          <w:bCs/>
        </w:rPr>
        <w:t>na základě § 92 odst. 3 daňového řádu</w:t>
      </w:r>
      <w:r w:rsidR="005733FB" w:rsidRPr="002C5162">
        <w:rPr>
          <w:bCs/>
        </w:rPr>
        <w:t xml:space="preserve"> </w:t>
      </w:r>
      <w:r w:rsidR="00E256FD" w:rsidRPr="002C5162">
        <w:rPr>
          <w:bCs/>
        </w:rPr>
        <w:t>povinnost prokázat všechny skutečnosti, k jejichž tvrzení je povinen</w:t>
      </w:r>
      <w:r w:rsidR="00E256FD">
        <w:rPr>
          <w:bCs/>
        </w:rPr>
        <w:t xml:space="preserve">. </w:t>
      </w:r>
      <w:r w:rsidR="00E256FD" w:rsidRPr="002C5162">
        <w:rPr>
          <w:bCs/>
        </w:rPr>
        <w:t>Primární iniciativa v tvrzení a prokazován</w:t>
      </w:r>
      <w:r w:rsidR="00E256FD">
        <w:rPr>
          <w:bCs/>
        </w:rPr>
        <w:t xml:space="preserve">í správnosti daně tak </w:t>
      </w:r>
      <w:r w:rsidR="005733FB">
        <w:rPr>
          <w:bCs/>
        </w:rPr>
        <w:t>přísluší daňovému subjektu.</w:t>
      </w:r>
    </w:p>
    <w:p w:rsidR="00E256FD" w:rsidRDefault="00E256FD" w:rsidP="00E256FD">
      <w:pPr>
        <w:rPr>
          <w:bCs/>
        </w:rPr>
      </w:pPr>
      <w:r>
        <w:rPr>
          <w:bCs/>
        </w:rPr>
        <w:t xml:space="preserve">Základní podmínkou, za které správce daně přistoupí ke stanovení daně </w:t>
      </w:r>
      <w:r w:rsidR="005733FB">
        <w:rPr>
          <w:bCs/>
        </w:rPr>
        <w:t>po</w:t>
      </w:r>
      <w:r>
        <w:rPr>
          <w:bCs/>
        </w:rPr>
        <w:t>dle pomůcek jako další metodě stanovení daňové povinnosti, je dle § 98 odst. 1 daňového řádu nesplnění některé ze zákonných povinností daňového subjektu v rámci dokazování j</w:t>
      </w:r>
      <w:r w:rsidR="005733FB">
        <w:rPr>
          <w:bCs/>
        </w:rPr>
        <w:t>í</w:t>
      </w:r>
      <w:r>
        <w:rPr>
          <w:bCs/>
        </w:rPr>
        <w:t>m tvrzených skutečností,</w:t>
      </w:r>
      <w:r w:rsidR="005733FB">
        <w:rPr>
          <w:bCs/>
        </w:rPr>
        <w:t xml:space="preserve"> tj. neunesení důkazního břemene</w:t>
      </w:r>
      <w:r>
        <w:rPr>
          <w:bCs/>
        </w:rPr>
        <w:t xml:space="preserve">, a to do té míry, že nelze stanovit daň na základě dokazování. V tomto případě </w:t>
      </w:r>
      <w:r w:rsidRPr="002C5162">
        <w:rPr>
          <w:bCs/>
        </w:rPr>
        <w:t xml:space="preserve">správce daně </w:t>
      </w:r>
      <w:r>
        <w:rPr>
          <w:bCs/>
        </w:rPr>
        <w:t>přistoupí ke</w:t>
      </w:r>
      <w:r w:rsidRPr="002C5162">
        <w:rPr>
          <w:bCs/>
        </w:rPr>
        <w:t xml:space="preserve"> stanov</w:t>
      </w:r>
      <w:r>
        <w:rPr>
          <w:bCs/>
        </w:rPr>
        <w:t xml:space="preserve">ení daně dle </w:t>
      </w:r>
      <w:r w:rsidRPr="002C5162">
        <w:rPr>
          <w:bCs/>
        </w:rPr>
        <w:t>pomůcek, jimiž disponuje nebo které si sám obstará</w:t>
      </w:r>
      <w:r>
        <w:rPr>
          <w:bCs/>
        </w:rPr>
        <w:t xml:space="preserve"> a provede tzv. kvalifikovaný odhad daňové povinnosti.</w:t>
      </w:r>
      <w:r w:rsidRPr="002C5162">
        <w:rPr>
          <w:bCs/>
        </w:rPr>
        <w:t xml:space="preserve"> </w:t>
      </w:r>
    </w:p>
    <w:p w:rsidR="00E256FD" w:rsidRDefault="00E256FD" w:rsidP="00F11574">
      <w:pPr>
        <w:keepNext/>
        <w:rPr>
          <w:bCs/>
        </w:rPr>
      </w:pPr>
      <w:r>
        <w:rPr>
          <w:bCs/>
        </w:rPr>
        <w:lastRenderedPageBreak/>
        <w:t>Mezi zmíněné zákonné povinnosti se řadí zejména:</w:t>
      </w:r>
    </w:p>
    <w:p w:rsidR="00E256FD" w:rsidRDefault="00E256FD" w:rsidP="00B85A1E">
      <w:pPr>
        <w:pStyle w:val="Odstavecseseznamem"/>
        <w:numPr>
          <w:ilvl w:val="0"/>
          <w:numId w:val="21"/>
        </w:numPr>
        <w:spacing w:after="60"/>
        <w:rPr>
          <w:rFonts w:ascii="Times New Roman" w:hAnsi="Times New Roman" w:cs="Times New Roman"/>
          <w:bCs/>
          <w:sz w:val="24"/>
          <w:szCs w:val="24"/>
        </w:rPr>
      </w:pPr>
      <w:r w:rsidRPr="00BC1F23">
        <w:rPr>
          <w:rFonts w:ascii="Times New Roman" w:hAnsi="Times New Roman" w:cs="Times New Roman"/>
          <w:bCs/>
          <w:sz w:val="24"/>
          <w:szCs w:val="24"/>
        </w:rPr>
        <w:t>řádné vedení účetnictví (je-li daňový subjekt účetní</w:t>
      </w:r>
      <w:r>
        <w:rPr>
          <w:rFonts w:ascii="Times New Roman" w:hAnsi="Times New Roman" w:cs="Times New Roman"/>
          <w:bCs/>
          <w:sz w:val="24"/>
          <w:szCs w:val="24"/>
        </w:rPr>
        <w:t xml:space="preserve"> jednotkou) v sou</w:t>
      </w:r>
      <w:r w:rsidR="005733FB">
        <w:rPr>
          <w:rFonts w:ascii="Times New Roman" w:hAnsi="Times New Roman" w:cs="Times New Roman"/>
          <w:bCs/>
          <w:sz w:val="24"/>
          <w:szCs w:val="24"/>
        </w:rPr>
        <w:t>ladu se</w:t>
      </w:r>
      <w:r w:rsidR="00B65FE8">
        <w:rPr>
          <w:rFonts w:ascii="Times New Roman" w:hAnsi="Times New Roman" w:cs="Times New Roman"/>
          <w:bCs/>
          <w:sz w:val="24"/>
          <w:szCs w:val="24"/>
        </w:rPr>
        <w:t> </w:t>
      </w:r>
      <w:r w:rsidR="005733FB">
        <w:rPr>
          <w:rFonts w:ascii="Times New Roman" w:hAnsi="Times New Roman" w:cs="Times New Roman"/>
          <w:bCs/>
          <w:sz w:val="24"/>
          <w:szCs w:val="24"/>
        </w:rPr>
        <w:t>zákonem</w:t>
      </w:r>
      <w:r w:rsidR="00451C56">
        <w:rPr>
          <w:rFonts w:ascii="Times New Roman" w:hAnsi="Times New Roman" w:cs="Times New Roman"/>
          <w:bCs/>
          <w:sz w:val="24"/>
          <w:szCs w:val="24"/>
        </w:rPr>
        <w:t xml:space="preserve"> č. 563/1991 Sb.,</w:t>
      </w:r>
      <w:r>
        <w:rPr>
          <w:rFonts w:ascii="Times New Roman" w:hAnsi="Times New Roman" w:cs="Times New Roman"/>
          <w:bCs/>
          <w:sz w:val="24"/>
          <w:szCs w:val="24"/>
        </w:rPr>
        <w:t xml:space="preserve"> o </w:t>
      </w:r>
      <w:r w:rsidRPr="00BC1F23">
        <w:rPr>
          <w:rFonts w:ascii="Times New Roman" w:hAnsi="Times New Roman" w:cs="Times New Roman"/>
          <w:bCs/>
          <w:sz w:val="24"/>
          <w:szCs w:val="24"/>
        </w:rPr>
        <w:t xml:space="preserve">účetnictví, </w:t>
      </w:r>
      <w:r w:rsidR="00451C56">
        <w:rPr>
          <w:rFonts w:ascii="Times New Roman" w:hAnsi="Times New Roman" w:cs="Times New Roman"/>
          <w:bCs/>
          <w:sz w:val="24"/>
          <w:szCs w:val="24"/>
        </w:rPr>
        <w:t xml:space="preserve">ve znění pozdějších předpisů, </w:t>
      </w:r>
      <w:r w:rsidRPr="00BC1F23">
        <w:rPr>
          <w:rFonts w:ascii="Times New Roman" w:hAnsi="Times New Roman" w:cs="Times New Roman"/>
          <w:bCs/>
          <w:sz w:val="24"/>
          <w:szCs w:val="24"/>
        </w:rPr>
        <w:t>tedy tak, aby účetní závěrka sestavená na základě řádného účetnictví podávala věrný a</w:t>
      </w:r>
      <w:r w:rsidR="00F309F6">
        <w:rPr>
          <w:rFonts w:ascii="Times New Roman" w:hAnsi="Times New Roman" w:cs="Times New Roman"/>
          <w:bCs/>
          <w:sz w:val="24"/>
          <w:szCs w:val="24"/>
        </w:rPr>
        <w:t> </w:t>
      </w:r>
      <w:r w:rsidRPr="00BC1F23">
        <w:rPr>
          <w:rFonts w:ascii="Times New Roman" w:hAnsi="Times New Roman" w:cs="Times New Roman"/>
          <w:bCs/>
          <w:sz w:val="24"/>
          <w:szCs w:val="24"/>
        </w:rPr>
        <w:t>poctivý obraz předmětu účetnictví a f</w:t>
      </w:r>
      <w:r>
        <w:rPr>
          <w:rFonts w:ascii="Times New Roman" w:hAnsi="Times New Roman" w:cs="Times New Roman"/>
          <w:bCs/>
          <w:sz w:val="24"/>
          <w:szCs w:val="24"/>
        </w:rPr>
        <w:t>inanční situace účetní jednotky</w:t>
      </w:r>
      <w:r w:rsidR="002C4C77">
        <w:rPr>
          <w:rFonts w:ascii="Times New Roman" w:hAnsi="Times New Roman" w:cs="Times New Roman"/>
          <w:bCs/>
          <w:sz w:val="24"/>
          <w:szCs w:val="24"/>
        </w:rPr>
        <w:t>,</w:t>
      </w:r>
    </w:p>
    <w:p w:rsidR="00E256FD" w:rsidRDefault="00E256FD" w:rsidP="00B85A1E">
      <w:pPr>
        <w:pStyle w:val="Odstavecseseznamem"/>
        <w:numPr>
          <w:ilvl w:val="0"/>
          <w:numId w:val="21"/>
        </w:numPr>
        <w:spacing w:after="60"/>
        <w:rPr>
          <w:rFonts w:ascii="Times New Roman" w:hAnsi="Times New Roman" w:cs="Times New Roman"/>
          <w:bCs/>
          <w:sz w:val="24"/>
          <w:szCs w:val="24"/>
        </w:rPr>
      </w:pPr>
      <w:r w:rsidRPr="00BC1F23">
        <w:rPr>
          <w:rFonts w:ascii="Times New Roman" w:hAnsi="Times New Roman" w:cs="Times New Roman"/>
          <w:bCs/>
          <w:sz w:val="24"/>
          <w:szCs w:val="24"/>
        </w:rPr>
        <w:t xml:space="preserve">splnění povinnosti registrace k jednotlivým daním </w:t>
      </w:r>
      <w:r>
        <w:rPr>
          <w:rFonts w:ascii="Times New Roman" w:hAnsi="Times New Roman" w:cs="Times New Roman"/>
          <w:bCs/>
          <w:sz w:val="24"/>
          <w:szCs w:val="24"/>
        </w:rPr>
        <w:t>(§125 daňového řádu)</w:t>
      </w:r>
      <w:r w:rsidR="002C4C77">
        <w:rPr>
          <w:rFonts w:ascii="Times New Roman" w:hAnsi="Times New Roman" w:cs="Times New Roman"/>
          <w:bCs/>
          <w:sz w:val="24"/>
          <w:szCs w:val="24"/>
        </w:rPr>
        <w:t xml:space="preserve"> nebo</w:t>
      </w:r>
    </w:p>
    <w:p w:rsidR="00E256FD" w:rsidRDefault="00E256FD" w:rsidP="00B85A1E">
      <w:pPr>
        <w:pStyle w:val="Odstavecseseznamem"/>
        <w:numPr>
          <w:ilvl w:val="0"/>
          <w:numId w:val="21"/>
        </w:numPr>
        <w:spacing w:after="60"/>
        <w:rPr>
          <w:rFonts w:ascii="Times New Roman" w:hAnsi="Times New Roman" w:cs="Times New Roman"/>
          <w:bCs/>
          <w:sz w:val="24"/>
          <w:szCs w:val="24"/>
        </w:rPr>
      </w:pPr>
      <w:r>
        <w:rPr>
          <w:rFonts w:ascii="Times New Roman" w:hAnsi="Times New Roman" w:cs="Times New Roman"/>
          <w:bCs/>
          <w:sz w:val="24"/>
          <w:szCs w:val="24"/>
        </w:rPr>
        <w:t>povinnost prokázat všechny tvrzené skutečnosti (§ 92 odst. 3 daňového řádu)</w:t>
      </w:r>
      <w:r w:rsidR="002C4C77">
        <w:rPr>
          <w:rFonts w:ascii="Times New Roman" w:hAnsi="Times New Roman" w:cs="Times New Roman"/>
          <w:bCs/>
          <w:sz w:val="24"/>
          <w:szCs w:val="24"/>
        </w:rPr>
        <w:t>.</w:t>
      </w:r>
    </w:p>
    <w:p w:rsidR="00E256FD" w:rsidRDefault="00E256FD" w:rsidP="00E256FD">
      <w:pPr>
        <w:spacing w:before="120"/>
        <w:rPr>
          <w:bCs/>
        </w:rPr>
      </w:pPr>
      <w:r>
        <w:rPr>
          <w:bCs/>
        </w:rPr>
        <w:t xml:space="preserve">Daňový řád však zakotvuje další případy, kdy lze </w:t>
      </w:r>
      <w:r w:rsidR="0032765D">
        <w:rPr>
          <w:bCs/>
        </w:rPr>
        <w:t xml:space="preserve">daň </w:t>
      </w:r>
      <w:r>
        <w:rPr>
          <w:bCs/>
        </w:rPr>
        <w:t>stanovit kontumačním způsobem</w:t>
      </w:r>
      <w:r w:rsidR="0032765D">
        <w:rPr>
          <w:bCs/>
        </w:rPr>
        <w:t>. P</w:t>
      </w:r>
      <w:r>
        <w:rPr>
          <w:bCs/>
        </w:rPr>
        <w:t>ro</w:t>
      </w:r>
      <w:r w:rsidR="002C4C77">
        <w:rPr>
          <w:bCs/>
        </w:rPr>
        <w:t> </w:t>
      </w:r>
      <w:r w:rsidR="0032765D">
        <w:rPr>
          <w:bCs/>
        </w:rPr>
        <w:t xml:space="preserve">tyto </w:t>
      </w:r>
      <w:r w:rsidR="00451C56">
        <w:rPr>
          <w:bCs/>
        </w:rPr>
        <w:t xml:space="preserve">případy </w:t>
      </w:r>
      <w:r>
        <w:rPr>
          <w:bCs/>
        </w:rPr>
        <w:t xml:space="preserve">je společné, že daňový subjekt neposkytuje </w:t>
      </w:r>
      <w:r w:rsidR="0032765D">
        <w:rPr>
          <w:bCs/>
        </w:rPr>
        <w:t xml:space="preserve">správci daně </w:t>
      </w:r>
      <w:r>
        <w:rPr>
          <w:bCs/>
        </w:rPr>
        <w:t>dostatečnou součinnost</w:t>
      </w:r>
      <w:r w:rsidR="002C4C77">
        <w:rPr>
          <w:bCs/>
        </w:rPr>
        <w:t xml:space="preserve"> spočívající v</w:t>
      </w:r>
      <w:r w:rsidR="007911F2">
        <w:rPr>
          <w:bCs/>
        </w:rPr>
        <w:t>:</w:t>
      </w:r>
    </w:p>
    <w:p w:rsidR="00E256FD" w:rsidRDefault="00E256FD" w:rsidP="00B85A1E">
      <w:pPr>
        <w:pStyle w:val="Odstavecseseznamem"/>
        <w:numPr>
          <w:ilvl w:val="0"/>
          <w:numId w:val="21"/>
        </w:numPr>
        <w:spacing w:after="60"/>
        <w:rPr>
          <w:rFonts w:ascii="Times New Roman" w:hAnsi="Times New Roman" w:cs="Times New Roman"/>
          <w:bCs/>
          <w:sz w:val="24"/>
          <w:szCs w:val="24"/>
        </w:rPr>
      </w:pPr>
      <w:r>
        <w:rPr>
          <w:rFonts w:ascii="Times New Roman" w:hAnsi="Times New Roman" w:cs="Times New Roman"/>
          <w:bCs/>
          <w:sz w:val="24"/>
          <w:szCs w:val="24"/>
        </w:rPr>
        <w:t>nepodání</w:t>
      </w:r>
      <w:r w:rsidRPr="00CB7BB4">
        <w:rPr>
          <w:rFonts w:ascii="Times New Roman" w:hAnsi="Times New Roman" w:cs="Times New Roman"/>
          <w:bCs/>
          <w:sz w:val="24"/>
          <w:szCs w:val="24"/>
        </w:rPr>
        <w:t xml:space="preserve"> řádné</w:t>
      </w:r>
      <w:r w:rsidR="005733FB">
        <w:rPr>
          <w:rFonts w:ascii="Times New Roman" w:hAnsi="Times New Roman" w:cs="Times New Roman"/>
          <w:bCs/>
          <w:sz w:val="24"/>
          <w:szCs w:val="24"/>
        </w:rPr>
        <w:t>ho</w:t>
      </w:r>
      <w:r w:rsidRPr="00CB7BB4">
        <w:rPr>
          <w:rFonts w:ascii="Times New Roman" w:hAnsi="Times New Roman" w:cs="Times New Roman"/>
          <w:bCs/>
          <w:sz w:val="24"/>
          <w:szCs w:val="24"/>
        </w:rPr>
        <w:t xml:space="preserve"> daňové</w:t>
      </w:r>
      <w:r w:rsidR="005733FB">
        <w:rPr>
          <w:rFonts w:ascii="Times New Roman" w:hAnsi="Times New Roman" w:cs="Times New Roman"/>
          <w:bCs/>
          <w:sz w:val="24"/>
          <w:szCs w:val="24"/>
        </w:rPr>
        <w:t>ho</w:t>
      </w:r>
      <w:r w:rsidRPr="00CB7BB4">
        <w:rPr>
          <w:rFonts w:ascii="Times New Roman" w:hAnsi="Times New Roman" w:cs="Times New Roman"/>
          <w:bCs/>
          <w:sz w:val="24"/>
          <w:szCs w:val="24"/>
        </w:rPr>
        <w:t xml:space="preserve"> tvrzení či dodatečné daňové tvrzení ani poté, kdy byl k</w:t>
      </w:r>
      <w:r w:rsidR="00B65FE8">
        <w:rPr>
          <w:rFonts w:ascii="Times New Roman" w:hAnsi="Times New Roman" w:cs="Times New Roman"/>
          <w:bCs/>
          <w:sz w:val="24"/>
          <w:szCs w:val="24"/>
        </w:rPr>
        <w:t> </w:t>
      </w:r>
      <w:r w:rsidRPr="00CB7BB4">
        <w:rPr>
          <w:rFonts w:ascii="Times New Roman" w:hAnsi="Times New Roman" w:cs="Times New Roman"/>
          <w:bCs/>
          <w:sz w:val="24"/>
          <w:szCs w:val="24"/>
        </w:rPr>
        <w:t>jeho podání správcem daně</w:t>
      </w:r>
      <w:r>
        <w:rPr>
          <w:rFonts w:ascii="Times New Roman" w:hAnsi="Times New Roman" w:cs="Times New Roman"/>
          <w:bCs/>
          <w:sz w:val="24"/>
          <w:szCs w:val="24"/>
        </w:rPr>
        <w:t xml:space="preserve"> daňový subjekt</w:t>
      </w:r>
      <w:r w:rsidRPr="00CB7BB4">
        <w:rPr>
          <w:rFonts w:ascii="Times New Roman" w:hAnsi="Times New Roman" w:cs="Times New Roman"/>
          <w:bCs/>
          <w:sz w:val="24"/>
          <w:szCs w:val="24"/>
        </w:rPr>
        <w:t xml:space="preserve"> vyzván</w:t>
      </w:r>
      <w:r>
        <w:rPr>
          <w:rFonts w:ascii="Times New Roman" w:hAnsi="Times New Roman" w:cs="Times New Roman"/>
          <w:bCs/>
          <w:sz w:val="24"/>
          <w:szCs w:val="24"/>
        </w:rPr>
        <w:t xml:space="preserve"> (§ 145 daňového řádu)</w:t>
      </w:r>
      <w:r w:rsidR="002C4C77">
        <w:rPr>
          <w:rFonts w:ascii="Times New Roman" w:hAnsi="Times New Roman" w:cs="Times New Roman"/>
          <w:bCs/>
          <w:sz w:val="24"/>
          <w:szCs w:val="24"/>
        </w:rPr>
        <w:t>,</w:t>
      </w:r>
    </w:p>
    <w:p w:rsidR="00E256FD" w:rsidRDefault="00E256FD" w:rsidP="00B85A1E">
      <w:pPr>
        <w:pStyle w:val="Odstavecseseznamem"/>
        <w:numPr>
          <w:ilvl w:val="0"/>
          <w:numId w:val="21"/>
        </w:numPr>
        <w:spacing w:after="60"/>
        <w:rPr>
          <w:rFonts w:ascii="Times New Roman" w:hAnsi="Times New Roman" w:cs="Times New Roman"/>
          <w:bCs/>
          <w:sz w:val="24"/>
          <w:szCs w:val="24"/>
        </w:rPr>
      </w:pPr>
      <w:r>
        <w:rPr>
          <w:rFonts w:ascii="Times New Roman" w:hAnsi="Times New Roman" w:cs="Times New Roman"/>
          <w:bCs/>
          <w:sz w:val="24"/>
          <w:szCs w:val="24"/>
        </w:rPr>
        <w:t>nepo</w:t>
      </w:r>
      <w:r w:rsidRPr="00252B36">
        <w:rPr>
          <w:rFonts w:ascii="Times New Roman" w:hAnsi="Times New Roman" w:cs="Times New Roman"/>
          <w:bCs/>
          <w:sz w:val="24"/>
          <w:szCs w:val="24"/>
        </w:rPr>
        <w:t>dání daňového tvrzení v souvislosti s rozhodnutím o úpadku (§ 244 odst. 6</w:t>
      </w:r>
      <w:r>
        <w:rPr>
          <w:rFonts w:ascii="Times New Roman" w:hAnsi="Times New Roman" w:cs="Times New Roman"/>
          <w:bCs/>
          <w:sz w:val="24"/>
          <w:szCs w:val="24"/>
        </w:rPr>
        <w:t xml:space="preserve"> daňového řádu</w:t>
      </w:r>
      <w:r w:rsidRPr="00252B36">
        <w:rPr>
          <w:rFonts w:ascii="Times New Roman" w:hAnsi="Times New Roman" w:cs="Times New Roman"/>
          <w:bCs/>
          <w:sz w:val="24"/>
          <w:szCs w:val="24"/>
        </w:rPr>
        <w:t>)</w:t>
      </w:r>
      <w:r w:rsidR="002C4C77">
        <w:rPr>
          <w:rFonts w:ascii="Times New Roman" w:hAnsi="Times New Roman" w:cs="Times New Roman"/>
          <w:bCs/>
          <w:sz w:val="24"/>
          <w:szCs w:val="24"/>
        </w:rPr>
        <w:t>,</w:t>
      </w:r>
    </w:p>
    <w:p w:rsidR="00E256FD" w:rsidRDefault="00E256FD" w:rsidP="00B85A1E">
      <w:pPr>
        <w:pStyle w:val="Odstavecseseznamem"/>
        <w:numPr>
          <w:ilvl w:val="0"/>
          <w:numId w:val="21"/>
        </w:numPr>
        <w:spacing w:after="60"/>
        <w:rPr>
          <w:rFonts w:ascii="Times New Roman" w:hAnsi="Times New Roman" w:cs="Times New Roman"/>
          <w:bCs/>
          <w:sz w:val="24"/>
          <w:szCs w:val="24"/>
        </w:rPr>
      </w:pPr>
      <w:r>
        <w:rPr>
          <w:rFonts w:ascii="Times New Roman" w:hAnsi="Times New Roman" w:cs="Times New Roman"/>
          <w:bCs/>
          <w:sz w:val="24"/>
          <w:szCs w:val="24"/>
        </w:rPr>
        <w:t>neposkytnutí</w:t>
      </w:r>
      <w:r w:rsidRPr="00252B36">
        <w:rPr>
          <w:rFonts w:ascii="Times New Roman" w:hAnsi="Times New Roman" w:cs="Times New Roman"/>
          <w:bCs/>
          <w:sz w:val="24"/>
          <w:szCs w:val="24"/>
        </w:rPr>
        <w:t xml:space="preserve"> </w:t>
      </w:r>
      <w:r>
        <w:rPr>
          <w:rFonts w:ascii="Times New Roman" w:hAnsi="Times New Roman" w:cs="Times New Roman"/>
          <w:bCs/>
          <w:sz w:val="24"/>
          <w:szCs w:val="24"/>
        </w:rPr>
        <w:t>potřebné</w:t>
      </w:r>
      <w:r w:rsidRPr="00252B36">
        <w:rPr>
          <w:rFonts w:ascii="Times New Roman" w:hAnsi="Times New Roman" w:cs="Times New Roman"/>
          <w:bCs/>
          <w:sz w:val="24"/>
          <w:szCs w:val="24"/>
        </w:rPr>
        <w:t xml:space="preserve"> součinnost k odstranění pochybností podle § 90 odst. 4</w:t>
      </w:r>
      <w:r>
        <w:rPr>
          <w:rFonts w:ascii="Times New Roman" w:hAnsi="Times New Roman" w:cs="Times New Roman"/>
          <w:bCs/>
          <w:sz w:val="24"/>
          <w:szCs w:val="24"/>
        </w:rPr>
        <w:t xml:space="preserve"> daňového řádu</w:t>
      </w:r>
      <w:r w:rsidR="002C4C77">
        <w:rPr>
          <w:rFonts w:ascii="Times New Roman" w:hAnsi="Times New Roman" w:cs="Times New Roman"/>
          <w:bCs/>
          <w:sz w:val="24"/>
          <w:szCs w:val="24"/>
        </w:rPr>
        <w:t>,</w:t>
      </w:r>
    </w:p>
    <w:p w:rsidR="00E256FD" w:rsidRDefault="00E256FD" w:rsidP="00B85A1E">
      <w:pPr>
        <w:pStyle w:val="Odstavecseseznamem"/>
        <w:numPr>
          <w:ilvl w:val="0"/>
          <w:numId w:val="21"/>
        </w:numPr>
        <w:spacing w:after="60"/>
        <w:rPr>
          <w:rFonts w:ascii="Times New Roman" w:hAnsi="Times New Roman" w:cs="Times New Roman"/>
          <w:bCs/>
          <w:sz w:val="24"/>
          <w:szCs w:val="24"/>
        </w:rPr>
      </w:pPr>
      <w:r>
        <w:rPr>
          <w:rFonts w:ascii="Times New Roman" w:hAnsi="Times New Roman" w:cs="Times New Roman"/>
          <w:bCs/>
          <w:sz w:val="24"/>
          <w:szCs w:val="24"/>
        </w:rPr>
        <w:t>ne</w:t>
      </w:r>
      <w:r w:rsidRPr="00112461">
        <w:rPr>
          <w:rFonts w:ascii="Times New Roman" w:hAnsi="Times New Roman" w:cs="Times New Roman"/>
          <w:bCs/>
          <w:sz w:val="24"/>
          <w:szCs w:val="24"/>
        </w:rPr>
        <w:t xml:space="preserve">splnění povinnosti součinnosti při zahájení daňové kontroly </w:t>
      </w:r>
      <w:r w:rsidR="00451C56">
        <w:rPr>
          <w:rFonts w:ascii="Times New Roman" w:hAnsi="Times New Roman" w:cs="Times New Roman"/>
          <w:bCs/>
          <w:sz w:val="24"/>
          <w:szCs w:val="24"/>
        </w:rPr>
        <w:t>(</w:t>
      </w:r>
      <w:r w:rsidRPr="00112461">
        <w:rPr>
          <w:rFonts w:ascii="Times New Roman" w:hAnsi="Times New Roman" w:cs="Times New Roman"/>
          <w:bCs/>
          <w:sz w:val="24"/>
          <w:szCs w:val="24"/>
        </w:rPr>
        <w:t>§ 87 odst. 5</w:t>
      </w:r>
      <w:r>
        <w:rPr>
          <w:rFonts w:ascii="Times New Roman" w:hAnsi="Times New Roman" w:cs="Times New Roman"/>
          <w:bCs/>
          <w:sz w:val="24"/>
          <w:szCs w:val="24"/>
        </w:rPr>
        <w:t xml:space="preserve"> daňového řádu</w:t>
      </w:r>
      <w:r w:rsidR="00451C56">
        <w:rPr>
          <w:rFonts w:ascii="Times New Roman" w:hAnsi="Times New Roman" w:cs="Times New Roman"/>
          <w:bCs/>
          <w:sz w:val="24"/>
          <w:szCs w:val="24"/>
        </w:rPr>
        <w:t xml:space="preserve">) tedy </w:t>
      </w:r>
      <w:r w:rsidRPr="00112461">
        <w:rPr>
          <w:rFonts w:ascii="Times New Roman" w:hAnsi="Times New Roman" w:cs="Times New Roman"/>
          <w:bCs/>
          <w:sz w:val="24"/>
          <w:szCs w:val="24"/>
        </w:rPr>
        <w:t>nevyhovění výzvě nebo neposkytnutí součinnosti</w:t>
      </w:r>
      <w:r>
        <w:rPr>
          <w:rFonts w:ascii="Times New Roman" w:hAnsi="Times New Roman" w:cs="Times New Roman"/>
          <w:bCs/>
          <w:sz w:val="24"/>
          <w:szCs w:val="24"/>
        </w:rPr>
        <w:t>)</w:t>
      </w:r>
      <w:r w:rsidR="002C4C77">
        <w:rPr>
          <w:rFonts w:ascii="Times New Roman" w:hAnsi="Times New Roman" w:cs="Times New Roman"/>
          <w:bCs/>
          <w:sz w:val="24"/>
          <w:szCs w:val="24"/>
        </w:rPr>
        <w:t xml:space="preserve"> nebo</w:t>
      </w:r>
    </w:p>
    <w:p w:rsidR="00E256FD" w:rsidRDefault="00E256FD" w:rsidP="00B85A1E">
      <w:pPr>
        <w:pStyle w:val="Odstavecseseznamem"/>
        <w:numPr>
          <w:ilvl w:val="0"/>
          <w:numId w:val="21"/>
        </w:numPr>
        <w:spacing w:after="60"/>
        <w:rPr>
          <w:rFonts w:ascii="Times New Roman" w:hAnsi="Times New Roman" w:cs="Times New Roman"/>
          <w:bCs/>
          <w:sz w:val="24"/>
          <w:szCs w:val="24"/>
        </w:rPr>
      </w:pPr>
      <w:r>
        <w:rPr>
          <w:rFonts w:ascii="Times New Roman" w:hAnsi="Times New Roman" w:cs="Times New Roman"/>
          <w:bCs/>
          <w:sz w:val="24"/>
          <w:szCs w:val="24"/>
        </w:rPr>
        <w:t>ne</w:t>
      </w:r>
      <w:r w:rsidRPr="00DC7F8A">
        <w:rPr>
          <w:rFonts w:ascii="Times New Roman" w:hAnsi="Times New Roman" w:cs="Times New Roman"/>
          <w:bCs/>
          <w:sz w:val="24"/>
          <w:szCs w:val="24"/>
        </w:rPr>
        <w:t>součinnost daňového subjektu při postupu správce daně k zajištění úhrady na</w:t>
      </w:r>
      <w:r w:rsidR="00B65FE8">
        <w:rPr>
          <w:rFonts w:ascii="Times New Roman" w:hAnsi="Times New Roman" w:cs="Times New Roman"/>
          <w:bCs/>
          <w:sz w:val="24"/>
          <w:szCs w:val="24"/>
        </w:rPr>
        <w:t> </w:t>
      </w:r>
      <w:r w:rsidRPr="00DC7F8A">
        <w:rPr>
          <w:rFonts w:ascii="Times New Roman" w:hAnsi="Times New Roman" w:cs="Times New Roman"/>
          <w:bCs/>
          <w:sz w:val="24"/>
          <w:szCs w:val="24"/>
        </w:rPr>
        <w:t>nesplatnou či dosud nestanovenou daň</w:t>
      </w:r>
      <w:r>
        <w:rPr>
          <w:rFonts w:ascii="Times New Roman" w:hAnsi="Times New Roman" w:cs="Times New Roman"/>
          <w:bCs/>
          <w:sz w:val="24"/>
          <w:szCs w:val="24"/>
        </w:rPr>
        <w:t xml:space="preserve"> (§ 167 odst. 4</w:t>
      </w:r>
      <w:r w:rsidR="00451C56">
        <w:rPr>
          <w:rFonts w:ascii="Times New Roman" w:hAnsi="Times New Roman" w:cs="Times New Roman"/>
          <w:bCs/>
          <w:sz w:val="24"/>
          <w:szCs w:val="24"/>
        </w:rPr>
        <w:t xml:space="preserve"> daňového řádu</w:t>
      </w:r>
      <w:r>
        <w:rPr>
          <w:rFonts w:ascii="Times New Roman" w:hAnsi="Times New Roman" w:cs="Times New Roman"/>
          <w:bCs/>
          <w:sz w:val="24"/>
          <w:szCs w:val="24"/>
        </w:rPr>
        <w:t>).</w:t>
      </w:r>
    </w:p>
    <w:p w:rsidR="00E256FD" w:rsidRDefault="00E256FD" w:rsidP="00E256FD">
      <w:r>
        <w:t xml:space="preserve">Z § 98 odst. 4 daňového řádu vyplývá omezující podmínka pro stanovení daně </w:t>
      </w:r>
      <w:r w:rsidRPr="008D70C8">
        <w:t>podle pomůcek</w:t>
      </w:r>
      <w:r>
        <w:t>, tj. pokud</w:t>
      </w:r>
      <w:r w:rsidRPr="00BE6199">
        <w:t xml:space="preserve"> lze tímto způsobem stanovit daň dostatečně spolehlivě,</w:t>
      </w:r>
      <w:r>
        <w:t xml:space="preserve"> v opačném případě musí správce daně přistoupit k poslednímu </w:t>
      </w:r>
      <w:r w:rsidR="002C4C77">
        <w:t xml:space="preserve">možnému </w:t>
      </w:r>
      <w:r>
        <w:t>způsobu stanovení</w:t>
      </w:r>
      <w:r w:rsidR="002C4C77">
        <w:t xml:space="preserve"> daně</w:t>
      </w:r>
      <w:r>
        <w:t>, a</w:t>
      </w:r>
      <w:r w:rsidR="00B65FE8">
        <w:t> </w:t>
      </w:r>
      <w:r>
        <w:t>to</w:t>
      </w:r>
      <w:r w:rsidR="00B65FE8">
        <w:t> </w:t>
      </w:r>
      <w:r w:rsidR="002C4C77">
        <w:t>ke </w:t>
      </w:r>
      <w:r>
        <w:t xml:space="preserve">sjednání daně. </w:t>
      </w:r>
    </w:p>
    <w:p w:rsidR="00E256FD" w:rsidRDefault="00E256FD" w:rsidP="00E256FD">
      <w:r>
        <w:t>V rámci stanovení daně dle pomůcek je správce</w:t>
      </w:r>
      <w:r w:rsidR="0032765D">
        <w:t xml:space="preserve"> daně</w:t>
      </w:r>
      <w:r>
        <w:t xml:space="preserve"> vázán cílem správy dan</w:t>
      </w:r>
      <w:r w:rsidR="0032765D">
        <w:t>í</w:t>
      </w:r>
      <w:r>
        <w:t xml:space="preserve"> (správné zjištění a stanovení daně</w:t>
      </w:r>
      <w:r w:rsidR="002C4C77">
        <w:t xml:space="preserve"> a zabezpečení její úhrady</w:t>
      </w:r>
      <w:r>
        <w:t>)</w:t>
      </w:r>
      <w:r w:rsidR="0032765D">
        <w:t>. S</w:t>
      </w:r>
      <w:r>
        <w:t xml:space="preserve">právce daně </w:t>
      </w:r>
      <w:r w:rsidR="0032765D">
        <w:t xml:space="preserve">je povinen </w:t>
      </w:r>
      <w:r>
        <w:t>přihlíž</w:t>
      </w:r>
      <w:r w:rsidR="0032765D">
        <w:t>et</w:t>
      </w:r>
      <w:r>
        <w:t xml:space="preserve"> při určení výše příjmů</w:t>
      </w:r>
      <w:r w:rsidR="0032765D">
        <w:t xml:space="preserve">, resp. při stanovení daně obecně, </w:t>
      </w:r>
      <w:r>
        <w:t>i ke všem zjištěným okolnostem, z kterých vyplývají výhody pro daňový subjekt, i když je sám subjekt neuplatnil. Takovými výhodami jsou</w:t>
      </w:r>
      <w:r w:rsidR="0032765D">
        <w:t xml:space="preserve"> například u daně z příjmů</w:t>
      </w:r>
      <w:r>
        <w:t xml:space="preserve"> přiměřené výdaje, položky</w:t>
      </w:r>
      <w:r w:rsidR="007911F2">
        <w:t xml:space="preserve"> snižující základ daně či</w:t>
      </w:r>
      <w:r w:rsidR="00B65FE8">
        <w:t> </w:t>
      </w:r>
      <w:r w:rsidR="007911F2">
        <w:t>daň.</w:t>
      </w:r>
    </w:p>
    <w:p w:rsidR="00E256FD" w:rsidRDefault="00E256FD" w:rsidP="00E256FD">
      <w:pPr>
        <w:rPr>
          <w:bCs/>
        </w:rPr>
      </w:pPr>
      <w:r>
        <w:rPr>
          <w:bCs/>
        </w:rPr>
        <w:t>U</w:t>
      </w:r>
      <w:r w:rsidRPr="002C5162">
        <w:rPr>
          <w:bCs/>
        </w:rPr>
        <w:t xml:space="preserve">stanovení </w:t>
      </w:r>
      <w:r>
        <w:rPr>
          <w:bCs/>
        </w:rPr>
        <w:t xml:space="preserve">§ 98 </w:t>
      </w:r>
      <w:r w:rsidRPr="002C5162">
        <w:rPr>
          <w:bCs/>
        </w:rPr>
        <w:t xml:space="preserve">odst. 3 </w:t>
      </w:r>
      <w:r>
        <w:rPr>
          <w:bCs/>
        </w:rPr>
        <w:t xml:space="preserve">daňového řádu </w:t>
      </w:r>
      <w:r w:rsidRPr="002C5162">
        <w:rPr>
          <w:bCs/>
        </w:rPr>
        <w:t>obsahuje</w:t>
      </w:r>
      <w:r>
        <w:rPr>
          <w:bCs/>
        </w:rPr>
        <w:t xml:space="preserve"> </w:t>
      </w:r>
      <w:r w:rsidRPr="002C5162">
        <w:rPr>
          <w:bCs/>
        </w:rPr>
        <w:t xml:space="preserve">demonstrativní výčet </w:t>
      </w:r>
      <w:r w:rsidR="003374D4" w:rsidRPr="002C5162">
        <w:rPr>
          <w:bCs/>
        </w:rPr>
        <w:t>pomůce</w:t>
      </w:r>
      <w:r w:rsidR="003374D4">
        <w:rPr>
          <w:bCs/>
        </w:rPr>
        <w:t xml:space="preserve">k </w:t>
      </w:r>
      <w:r w:rsidRPr="002C5162">
        <w:rPr>
          <w:bCs/>
        </w:rPr>
        <w:t xml:space="preserve">obvykle používaných </w:t>
      </w:r>
      <w:r>
        <w:rPr>
          <w:bCs/>
        </w:rPr>
        <w:t>při stanovení daně kontumačně. Jako p</w:t>
      </w:r>
      <w:r w:rsidRPr="002C5162">
        <w:rPr>
          <w:bCs/>
        </w:rPr>
        <w:t>omůck</w:t>
      </w:r>
      <w:r>
        <w:rPr>
          <w:bCs/>
        </w:rPr>
        <w:t xml:space="preserve">u </w:t>
      </w:r>
      <w:r w:rsidR="002C4C77">
        <w:rPr>
          <w:bCs/>
        </w:rPr>
        <w:t xml:space="preserve">tak </w:t>
      </w:r>
      <w:r>
        <w:rPr>
          <w:bCs/>
        </w:rPr>
        <w:t>lze ze strany správce daně</w:t>
      </w:r>
      <w:r w:rsidRPr="002C5162">
        <w:rPr>
          <w:bCs/>
        </w:rPr>
        <w:t xml:space="preserve"> </w:t>
      </w:r>
      <w:r>
        <w:rPr>
          <w:bCs/>
        </w:rPr>
        <w:t xml:space="preserve">použít </w:t>
      </w:r>
      <w:r w:rsidRPr="002C5162">
        <w:rPr>
          <w:bCs/>
        </w:rPr>
        <w:t xml:space="preserve">jakýkoliv poznatek, který byl získán v souladu se zákonem a jenž umožní správci daně stanovit </w:t>
      </w:r>
      <w:r>
        <w:rPr>
          <w:bCs/>
        </w:rPr>
        <w:t>kvalifikovaný odhad skutečné</w:t>
      </w:r>
      <w:r w:rsidRPr="002C5162">
        <w:rPr>
          <w:bCs/>
        </w:rPr>
        <w:t xml:space="preserve"> výše </w:t>
      </w:r>
      <w:r>
        <w:rPr>
          <w:bCs/>
        </w:rPr>
        <w:t>daně. Pomůckami tak jsou zejména</w:t>
      </w:r>
    </w:p>
    <w:p w:rsidR="00E256FD" w:rsidRPr="001B7E8B" w:rsidRDefault="00E256FD" w:rsidP="00B85A1E">
      <w:pPr>
        <w:pStyle w:val="Odstavecseseznamem"/>
        <w:numPr>
          <w:ilvl w:val="0"/>
          <w:numId w:val="21"/>
        </w:numPr>
        <w:spacing w:after="60"/>
        <w:ind w:left="714" w:hanging="357"/>
        <w:rPr>
          <w:rFonts w:ascii="Times New Roman" w:hAnsi="Times New Roman" w:cs="Times New Roman"/>
          <w:bCs/>
          <w:sz w:val="24"/>
          <w:szCs w:val="24"/>
        </w:rPr>
      </w:pPr>
      <w:r w:rsidRPr="001B7E8B">
        <w:rPr>
          <w:rFonts w:ascii="Times New Roman" w:hAnsi="Times New Roman" w:cs="Times New Roman"/>
          <w:bCs/>
          <w:sz w:val="24"/>
          <w:szCs w:val="24"/>
        </w:rPr>
        <w:t>dosud získané důkazní prostředky, které nebyly zpochybněny</w:t>
      </w:r>
      <w:r w:rsidR="002C4C77">
        <w:rPr>
          <w:rFonts w:ascii="Times New Roman" w:hAnsi="Times New Roman" w:cs="Times New Roman"/>
          <w:bCs/>
          <w:sz w:val="24"/>
          <w:szCs w:val="24"/>
        </w:rPr>
        <w:t>,</w:t>
      </w:r>
    </w:p>
    <w:p w:rsidR="00E256FD" w:rsidRPr="001B7E8B" w:rsidRDefault="00E256FD" w:rsidP="00B85A1E">
      <w:pPr>
        <w:pStyle w:val="Odstavecseseznamem"/>
        <w:numPr>
          <w:ilvl w:val="0"/>
          <w:numId w:val="21"/>
        </w:numPr>
        <w:spacing w:after="60"/>
        <w:ind w:left="714" w:hanging="357"/>
        <w:rPr>
          <w:rFonts w:ascii="Times New Roman" w:hAnsi="Times New Roman" w:cs="Times New Roman"/>
          <w:bCs/>
          <w:sz w:val="24"/>
          <w:szCs w:val="24"/>
        </w:rPr>
      </w:pPr>
      <w:r w:rsidRPr="001B7E8B">
        <w:rPr>
          <w:rFonts w:ascii="Times New Roman" w:hAnsi="Times New Roman" w:cs="Times New Roman"/>
          <w:bCs/>
          <w:sz w:val="24"/>
          <w:szCs w:val="24"/>
        </w:rPr>
        <w:t>poznatky o daňové povinnosti „obdobného“ subjektu podnikajícího za obdobných podmínek, propočty, statistiky</w:t>
      </w:r>
      <w:r w:rsidR="002C4C77">
        <w:rPr>
          <w:rFonts w:ascii="Times New Roman" w:hAnsi="Times New Roman" w:cs="Times New Roman"/>
          <w:bCs/>
          <w:sz w:val="24"/>
          <w:szCs w:val="24"/>
        </w:rPr>
        <w:t>,</w:t>
      </w:r>
    </w:p>
    <w:p w:rsidR="00E256FD" w:rsidRPr="001B7E8B" w:rsidRDefault="00E256FD" w:rsidP="00B85A1E">
      <w:pPr>
        <w:pStyle w:val="Odstavecseseznamem"/>
        <w:numPr>
          <w:ilvl w:val="0"/>
          <w:numId w:val="21"/>
        </w:numPr>
        <w:spacing w:after="60"/>
        <w:ind w:left="714" w:hanging="357"/>
        <w:rPr>
          <w:rFonts w:ascii="Times New Roman" w:hAnsi="Times New Roman" w:cs="Times New Roman"/>
          <w:bCs/>
          <w:sz w:val="24"/>
          <w:szCs w:val="24"/>
        </w:rPr>
      </w:pPr>
      <w:r w:rsidRPr="001B7E8B">
        <w:rPr>
          <w:rFonts w:ascii="Times New Roman" w:hAnsi="Times New Roman" w:cs="Times New Roman"/>
          <w:bCs/>
          <w:sz w:val="24"/>
          <w:szCs w:val="24"/>
        </w:rPr>
        <w:t>část účetnictví či část dokladů předložená daňovým subjektem</w:t>
      </w:r>
      <w:r w:rsidR="002C4C77">
        <w:rPr>
          <w:rFonts w:ascii="Times New Roman" w:hAnsi="Times New Roman" w:cs="Times New Roman"/>
          <w:bCs/>
          <w:sz w:val="24"/>
          <w:szCs w:val="24"/>
        </w:rPr>
        <w:t>,</w:t>
      </w:r>
    </w:p>
    <w:p w:rsidR="00E256FD" w:rsidRPr="001B7E8B" w:rsidRDefault="00E256FD" w:rsidP="00B85A1E">
      <w:pPr>
        <w:pStyle w:val="Odstavecseseznamem"/>
        <w:numPr>
          <w:ilvl w:val="0"/>
          <w:numId w:val="21"/>
        </w:numPr>
        <w:spacing w:after="60"/>
        <w:ind w:left="714" w:hanging="357"/>
        <w:rPr>
          <w:rFonts w:ascii="Times New Roman" w:hAnsi="Times New Roman" w:cs="Times New Roman"/>
          <w:bCs/>
          <w:sz w:val="24"/>
          <w:szCs w:val="24"/>
        </w:rPr>
      </w:pPr>
      <w:r w:rsidRPr="001B7E8B">
        <w:rPr>
          <w:rFonts w:ascii="Times New Roman" w:hAnsi="Times New Roman" w:cs="Times New Roman"/>
          <w:bCs/>
          <w:sz w:val="24"/>
          <w:szCs w:val="24"/>
        </w:rPr>
        <w:t>údaje, získané od jiných správců daně z jiných řízení</w:t>
      </w:r>
      <w:r w:rsidR="002C4C77">
        <w:rPr>
          <w:rFonts w:ascii="Times New Roman" w:hAnsi="Times New Roman" w:cs="Times New Roman"/>
          <w:bCs/>
          <w:sz w:val="24"/>
          <w:szCs w:val="24"/>
        </w:rPr>
        <w:t>,</w:t>
      </w:r>
    </w:p>
    <w:p w:rsidR="00E256FD" w:rsidRPr="001B7E8B" w:rsidRDefault="00E256FD" w:rsidP="00B85A1E">
      <w:pPr>
        <w:pStyle w:val="Odstavecseseznamem"/>
        <w:numPr>
          <w:ilvl w:val="0"/>
          <w:numId w:val="21"/>
        </w:numPr>
        <w:spacing w:after="60"/>
        <w:ind w:left="714" w:hanging="357"/>
        <w:rPr>
          <w:rFonts w:ascii="Times New Roman" w:hAnsi="Times New Roman" w:cs="Times New Roman"/>
          <w:bCs/>
          <w:sz w:val="24"/>
          <w:szCs w:val="24"/>
        </w:rPr>
      </w:pPr>
      <w:r w:rsidRPr="001B7E8B">
        <w:rPr>
          <w:rFonts w:ascii="Times New Roman" w:hAnsi="Times New Roman" w:cs="Times New Roman"/>
          <w:bCs/>
          <w:sz w:val="24"/>
          <w:szCs w:val="24"/>
        </w:rPr>
        <w:t>poznatky získané již dříve při vyhledávací činnosti správce daně či místních šetřeních</w:t>
      </w:r>
      <w:r w:rsidR="002C4C77">
        <w:rPr>
          <w:rFonts w:ascii="Times New Roman" w:hAnsi="Times New Roman" w:cs="Times New Roman"/>
          <w:bCs/>
          <w:sz w:val="24"/>
          <w:szCs w:val="24"/>
        </w:rPr>
        <w:t xml:space="preserve"> nebo</w:t>
      </w:r>
      <w:r w:rsidRPr="001B7E8B">
        <w:rPr>
          <w:rFonts w:ascii="Times New Roman" w:hAnsi="Times New Roman" w:cs="Times New Roman"/>
          <w:bCs/>
          <w:sz w:val="24"/>
          <w:szCs w:val="24"/>
        </w:rPr>
        <w:t xml:space="preserve"> </w:t>
      </w:r>
    </w:p>
    <w:p w:rsidR="00E256FD" w:rsidRPr="001B7E8B" w:rsidRDefault="003374D4" w:rsidP="00B85A1E">
      <w:pPr>
        <w:pStyle w:val="Odstavecseseznamem"/>
        <w:numPr>
          <w:ilvl w:val="0"/>
          <w:numId w:val="21"/>
        </w:numPr>
        <w:spacing w:after="60"/>
        <w:ind w:left="714" w:hanging="357"/>
        <w:rPr>
          <w:rFonts w:ascii="Times New Roman" w:hAnsi="Times New Roman" w:cs="Times New Roman"/>
          <w:bCs/>
          <w:sz w:val="24"/>
          <w:szCs w:val="24"/>
        </w:rPr>
      </w:pPr>
      <w:r>
        <w:rPr>
          <w:rFonts w:ascii="Times New Roman" w:hAnsi="Times New Roman" w:cs="Times New Roman"/>
          <w:bCs/>
          <w:sz w:val="24"/>
          <w:szCs w:val="24"/>
        </w:rPr>
        <w:t>porovnání</w:t>
      </w:r>
      <w:r w:rsidR="00E256FD" w:rsidRPr="001B7E8B">
        <w:rPr>
          <w:rFonts w:ascii="Times New Roman" w:hAnsi="Times New Roman" w:cs="Times New Roman"/>
          <w:bCs/>
          <w:sz w:val="24"/>
          <w:szCs w:val="24"/>
        </w:rPr>
        <w:t xml:space="preserve"> </w:t>
      </w:r>
      <w:r>
        <w:rPr>
          <w:rFonts w:ascii="Times New Roman" w:hAnsi="Times New Roman" w:cs="Times New Roman"/>
          <w:bCs/>
          <w:sz w:val="24"/>
          <w:szCs w:val="24"/>
        </w:rPr>
        <w:t>po</w:t>
      </w:r>
      <w:r w:rsidR="00E256FD" w:rsidRPr="001B7E8B">
        <w:rPr>
          <w:rFonts w:ascii="Times New Roman" w:hAnsi="Times New Roman" w:cs="Times New Roman"/>
          <w:bCs/>
          <w:sz w:val="24"/>
          <w:szCs w:val="24"/>
        </w:rPr>
        <w:t xml:space="preserve">dle daňové povinnosti daňového subjektu v uplynulých letech, pokud se výrazně nezměnily podmínky, v nichž podniká. </w:t>
      </w:r>
    </w:p>
    <w:p w:rsidR="00E256FD" w:rsidRDefault="00E256FD" w:rsidP="00E256FD">
      <w:pPr>
        <w:rPr>
          <w:bCs/>
        </w:rPr>
      </w:pPr>
      <w:r>
        <w:rPr>
          <w:bCs/>
        </w:rPr>
        <w:lastRenderedPageBreak/>
        <w:t>Základní z</w:t>
      </w:r>
      <w:r w:rsidRPr="002C5162">
        <w:rPr>
          <w:bCs/>
        </w:rPr>
        <w:t xml:space="preserve">ásadou však je, že užité pomůcky musí správce daně jasně identifikovat tak, aby se k jejich volbě a míře užití mohl daňový subjekt vyjádřit. </w:t>
      </w:r>
    </w:p>
    <w:p w:rsidR="00E256FD" w:rsidRDefault="00E256FD" w:rsidP="00E256FD">
      <w:pPr>
        <w:rPr>
          <w:bCs/>
        </w:rPr>
      </w:pPr>
      <w:r>
        <w:rPr>
          <w:bCs/>
        </w:rPr>
        <w:t xml:space="preserve">Daňový subjekt má právo odvolat se proti rozhodnutí o stanovení daně </w:t>
      </w:r>
      <w:r w:rsidR="002C4C77">
        <w:rPr>
          <w:bCs/>
        </w:rPr>
        <w:t xml:space="preserve">podle </w:t>
      </w:r>
      <w:r>
        <w:rPr>
          <w:bCs/>
        </w:rPr>
        <w:t>pomůc</w:t>
      </w:r>
      <w:r w:rsidR="002C4C77">
        <w:rPr>
          <w:bCs/>
        </w:rPr>
        <w:t>e</w:t>
      </w:r>
      <w:r>
        <w:rPr>
          <w:bCs/>
        </w:rPr>
        <w:t>k (§</w:t>
      </w:r>
      <w:r w:rsidR="002C4C77">
        <w:rPr>
          <w:bCs/>
        </w:rPr>
        <w:t> </w:t>
      </w:r>
      <w:r>
        <w:rPr>
          <w:bCs/>
        </w:rPr>
        <w:t xml:space="preserve">109 odst. 1 daňového řádu). </w:t>
      </w:r>
      <w:r w:rsidRPr="00DE4A07">
        <w:rPr>
          <w:bCs/>
        </w:rPr>
        <w:t xml:space="preserve">Je-li podáno odvolání proti rozhodnutí o stanovení daně podle pomůcek, předmět přezkumu </w:t>
      </w:r>
      <w:r>
        <w:rPr>
          <w:bCs/>
        </w:rPr>
        <w:t xml:space="preserve">odvolacího orgánu se omezuje </w:t>
      </w:r>
      <w:r w:rsidRPr="00DE4A07">
        <w:rPr>
          <w:bCs/>
        </w:rPr>
        <w:t>na zjištění, zda byly splněny zákonné podmínky p</w:t>
      </w:r>
      <w:r>
        <w:rPr>
          <w:bCs/>
        </w:rPr>
        <w:t xml:space="preserve">ro použití kontumačního postupu, </w:t>
      </w:r>
      <w:r w:rsidRPr="00DE4A07">
        <w:rPr>
          <w:bCs/>
        </w:rPr>
        <w:t>zda b</w:t>
      </w:r>
      <w:r>
        <w:rPr>
          <w:bCs/>
        </w:rPr>
        <w:t>ylo přihlédnuto k okolnostem, z </w:t>
      </w:r>
      <w:r w:rsidRPr="00DE4A07">
        <w:rPr>
          <w:bCs/>
        </w:rPr>
        <w:t>nichž vyplývají výhody pro daňový subjekt</w:t>
      </w:r>
      <w:r>
        <w:rPr>
          <w:bCs/>
        </w:rPr>
        <w:t>, a t</w:t>
      </w:r>
      <w:r w:rsidR="002C4C77">
        <w:rPr>
          <w:bCs/>
        </w:rPr>
        <w:t>é</w:t>
      </w:r>
      <w:r>
        <w:rPr>
          <w:bCs/>
        </w:rPr>
        <w:t xml:space="preserve">ž přiměřenost použitých pomůcek </w:t>
      </w:r>
      <w:r w:rsidRPr="00DE4A07">
        <w:rPr>
          <w:bCs/>
        </w:rPr>
        <w:t>(</w:t>
      </w:r>
      <w:r>
        <w:rPr>
          <w:bCs/>
        </w:rPr>
        <w:t>viz</w:t>
      </w:r>
      <w:r w:rsidR="00B65FE8">
        <w:rPr>
          <w:bCs/>
        </w:rPr>
        <w:t> </w:t>
      </w:r>
      <w:r w:rsidRPr="00DE4A07">
        <w:rPr>
          <w:bCs/>
        </w:rPr>
        <w:t>§</w:t>
      </w:r>
      <w:r w:rsidR="006F4B99">
        <w:rPr>
          <w:bCs/>
        </w:rPr>
        <w:t> </w:t>
      </w:r>
      <w:r>
        <w:rPr>
          <w:bCs/>
        </w:rPr>
        <w:t>114 odst. 4 daňového řádu</w:t>
      </w:r>
      <w:r w:rsidRPr="00DE4A07">
        <w:rPr>
          <w:bCs/>
        </w:rPr>
        <w:t>).</w:t>
      </w:r>
    </w:p>
    <w:p w:rsidR="00E256FD" w:rsidRDefault="002C4C77" w:rsidP="00E256FD">
      <w:pPr>
        <w:rPr>
          <w:bCs/>
        </w:rPr>
      </w:pPr>
      <w:r>
        <w:rPr>
          <w:bCs/>
        </w:rPr>
        <w:t xml:space="preserve">Jestliže byla </w:t>
      </w:r>
      <w:r w:rsidRPr="003956F1">
        <w:rPr>
          <w:bCs/>
        </w:rPr>
        <w:t xml:space="preserve">poslední známá daň </w:t>
      </w:r>
      <w:r>
        <w:rPr>
          <w:bCs/>
        </w:rPr>
        <w:t>stanovena podle</w:t>
      </w:r>
      <w:r w:rsidRPr="003956F1">
        <w:rPr>
          <w:bCs/>
        </w:rPr>
        <w:t xml:space="preserve"> </w:t>
      </w:r>
      <w:r>
        <w:rPr>
          <w:bCs/>
        </w:rPr>
        <w:t>pomůcek</w:t>
      </w:r>
      <w:r w:rsidR="007372B0">
        <w:rPr>
          <w:bCs/>
        </w:rPr>
        <w:t>,</w:t>
      </w:r>
      <w:r>
        <w:rPr>
          <w:bCs/>
        </w:rPr>
        <w:t xml:space="preserve"> není d</w:t>
      </w:r>
      <w:r w:rsidR="00E256FD">
        <w:rPr>
          <w:bCs/>
        </w:rPr>
        <w:t>aňovému subjektu umožněno podat d</w:t>
      </w:r>
      <w:r w:rsidR="00E256FD" w:rsidRPr="003956F1">
        <w:rPr>
          <w:bCs/>
        </w:rPr>
        <w:t xml:space="preserve">odatečné daňové přiznání na daň nižší, než je poslední známá daň </w:t>
      </w:r>
      <w:r w:rsidR="00E256FD">
        <w:rPr>
          <w:bCs/>
        </w:rPr>
        <w:t>(</w:t>
      </w:r>
      <w:r>
        <w:rPr>
          <w:bCs/>
        </w:rPr>
        <w:t>srov.</w:t>
      </w:r>
      <w:r w:rsidR="00B65FE8">
        <w:rPr>
          <w:bCs/>
        </w:rPr>
        <w:t> </w:t>
      </w:r>
      <w:r w:rsidR="00E256FD">
        <w:rPr>
          <w:bCs/>
        </w:rPr>
        <w:t>§</w:t>
      </w:r>
      <w:r w:rsidR="006F4B99">
        <w:rPr>
          <w:bCs/>
        </w:rPr>
        <w:t> </w:t>
      </w:r>
      <w:r w:rsidR="00E256FD">
        <w:rPr>
          <w:bCs/>
        </w:rPr>
        <w:t xml:space="preserve">141 odst. 3 daňového řádu). Toto pravidlo </w:t>
      </w:r>
      <w:r w:rsidR="00451C56">
        <w:rPr>
          <w:bCs/>
        </w:rPr>
        <w:t>zohledňuje skutečnost</w:t>
      </w:r>
      <w:r w:rsidR="00E256FD" w:rsidRPr="008E5CEC">
        <w:rPr>
          <w:bCs/>
        </w:rPr>
        <w:t>, že se jedná o</w:t>
      </w:r>
      <w:r w:rsidR="00B65FE8">
        <w:rPr>
          <w:bCs/>
        </w:rPr>
        <w:t> </w:t>
      </w:r>
      <w:r w:rsidR="00E256FD" w:rsidRPr="008E5CEC">
        <w:rPr>
          <w:bCs/>
        </w:rPr>
        <w:t>náhradní způsob stanovení daňové povinnosti, jehož užití zavinil daňový subjekt.</w:t>
      </w:r>
    </w:p>
    <w:p w:rsidR="006F4B99" w:rsidRDefault="006F4B99" w:rsidP="00E256FD">
      <w:pPr>
        <w:rPr>
          <w:bCs/>
        </w:rPr>
      </w:pPr>
      <w:r>
        <w:rPr>
          <w:bCs/>
        </w:rPr>
        <w:t>Obecná úprava mechanismu pomůcek obsažená v daňovém řádu je z hlediska aplikace na</w:t>
      </w:r>
      <w:r w:rsidR="00B65FE8">
        <w:rPr>
          <w:bCs/>
        </w:rPr>
        <w:t> </w:t>
      </w:r>
      <w:r>
        <w:rPr>
          <w:bCs/>
        </w:rPr>
        <w:t>případy zatajených příjmů nedostačující. Za tím účelem se navrhuje speciální mechanismus – stanovení daně podle pomůcek zvláštním způsobem, který bude součástí zákona o daních z příjmů.</w:t>
      </w:r>
    </w:p>
    <w:p w:rsidR="00880FCF" w:rsidRDefault="00BE48F7" w:rsidP="00661987">
      <w:pPr>
        <w:pStyle w:val="text"/>
        <w:ind w:firstLine="0"/>
        <w:rPr>
          <w:b/>
        </w:rPr>
      </w:pPr>
      <w:r>
        <w:rPr>
          <w:b/>
        </w:rPr>
        <w:t>Ad 1.2.</w:t>
      </w:r>
      <w:r w:rsidR="00661987">
        <w:rPr>
          <w:b/>
        </w:rPr>
        <w:t xml:space="preserve">b) </w:t>
      </w:r>
      <w:r w:rsidR="00880FCF">
        <w:rPr>
          <w:b/>
        </w:rPr>
        <w:t xml:space="preserve">Prohlášení o majetku </w:t>
      </w:r>
    </w:p>
    <w:p w:rsidR="00880FCF" w:rsidRDefault="00880FCF" w:rsidP="00880FCF">
      <w:r>
        <w:t>Inspirací pro navrženou úpravu prohlášení o majetku v zákon</w:t>
      </w:r>
      <w:r w:rsidR="00E75CCE">
        <w:t>ě</w:t>
      </w:r>
      <w:r>
        <w:t xml:space="preserve"> o daních z příjmů je prohlášení o majetku dle § 180 daňového řádu</w:t>
      </w:r>
      <w:r w:rsidR="003374D4">
        <w:t>, které se používá pro účely daňové exekuce</w:t>
      </w:r>
      <w:r>
        <w:t>. Účelem prohlášení o majetku dle daňového řádu je obstarání si informací o majetkové sféře dlužníka tak, aby bylo možno zvážit, zda vůbec exekuci nařídit a případně jakým způsobem, resp. zda lze postihnout jiný majetek dlužníka než pohledávku z účtu u poskytovatele platebních služeb.</w:t>
      </w:r>
    </w:p>
    <w:p w:rsidR="00880FCF" w:rsidRDefault="00880FCF" w:rsidP="00880FCF">
      <w:r>
        <w:t>Dlužník je povinen na výzvu správce daně podat ve stanov</w:t>
      </w:r>
      <w:r w:rsidR="00636B0C">
        <w:t xml:space="preserve">ené lhůtě prohlášení o majetku. </w:t>
      </w:r>
      <w:r>
        <w:t>Obsahem výzvy jsou i dvě poučení, a to:</w:t>
      </w:r>
    </w:p>
    <w:p w:rsidR="00880FCF" w:rsidRPr="006B5EE3" w:rsidRDefault="00880FCF" w:rsidP="00B85A1E">
      <w:pPr>
        <w:pStyle w:val="Odstavecseseznamem"/>
        <w:numPr>
          <w:ilvl w:val="0"/>
          <w:numId w:val="21"/>
        </w:numPr>
        <w:spacing w:after="60"/>
        <w:ind w:left="714" w:hanging="357"/>
        <w:rPr>
          <w:rFonts w:ascii="Times New Roman" w:hAnsi="Times New Roman" w:cs="Times New Roman"/>
          <w:bCs/>
          <w:sz w:val="24"/>
          <w:szCs w:val="24"/>
        </w:rPr>
      </w:pPr>
      <w:r w:rsidRPr="006B5EE3">
        <w:rPr>
          <w:rFonts w:ascii="Times New Roman" w:hAnsi="Times New Roman" w:cs="Times New Roman"/>
          <w:bCs/>
          <w:sz w:val="24"/>
          <w:szCs w:val="24"/>
        </w:rPr>
        <w:t>o povinnoste</w:t>
      </w:r>
      <w:r>
        <w:rPr>
          <w:rFonts w:ascii="Times New Roman" w:hAnsi="Times New Roman" w:cs="Times New Roman"/>
          <w:bCs/>
          <w:sz w:val="24"/>
          <w:szCs w:val="24"/>
        </w:rPr>
        <w:t>ch spojených s doručením výzvy</w:t>
      </w:r>
      <w:r w:rsidR="009B68B6">
        <w:rPr>
          <w:rFonts w:ascii="Times New Roman" w:hAnsi="Times New Roman" w:cs="Times New Roman"/>
          <w:bCs/>
          <w:sz w:val="24"/>
          <w:szCs w:val="24"/>
        </w:rPr>
        <w:t xml:space="preserve"> a</w:t>
      </w:r>
    </w:p>
    <w:p w:rsidR="00880FCF" w:rsidRDefault="00880FCF" w:rsidP="00B85A1E">
      <w:pPr>
        <w:pStyle w:val="Odstavecseseznamem"/>
        <w:numPr>
          <w:ilvl w:val="0"/>
          <w:numId w:val="21"/>
        </w:numPr>
        <w:spacing w:after="60"/>
        <w:ind w:left="714" w:hanging="357"/>
      </w:pPr>
      <w:r w:rsidRPr="006B5EE3">
        <w:rPr>
          <w:rFonts w:ascii="Times New Roman" w:hAnsi="Times New Roman" w:cs="Times New Roman"/>
          <w:bCs/>
          <w:sz w:val="24"/>
          <w:szCs w:val="24"/>
        </w:rPr>
        <w:t>o trestních následcích spojených s nepodáním prohlášení nebo uvedením nepravdivých anebo hrubě zkreslených údajů, spočívajících ve spáchání trestného činu porušení povinnosti učinit pravdivé</w:t>
      </w:r>
      <w:r>
        <w:rPr>
          <w:rFonts w:ascii="Times New Roman" w:hAnsi="Times New Roman" w:cs="Times New Roman"/>
          <w:bCs/>
          <w:sz w:val="24"/>
          <w:szCs w:val="24"/>
        </w:rPr>
        <w:t xml:space="preserve"> prohlášení o majetku (§ 227 trestního</w:t>
      </w:r>
      <w:r w:rsidRPr="006B5EE3">
        <w:rPr>
          <w:rFonts w:ascii="Times New Roman" w:hAnsi="Times New Roman" w:cs="Times New Roman"/>
          <w:bCs/>
          <w:sz w:val="24"/>
          <w:szCs w:val="24"/>
        </w:rPr>
        <w:t xml:space="preserve"> zákoníku).</w:t>
      </w:r>
      <w:r>
        <w:t xml:space="preserve"> </w:t>
      </w:r>
    </w:p>
    <w:p w:rsidR="00880FCF" w:rsidRDefault="00880FCF" w:rsidP="00880FCF">
      <w:r w:rsidRPr="006B5EE3">
        <w:t xml:space="preserve">Nesplní-li dlužník povinnost podat prohlášení o majetku, vyhýbá-li se jejímu splnění nebo uvede-li nepravdivé nebo hrubě zkreslené údaje, není správce daně pro účely trestního řízení vázán povinností mlčenlivosti (§ 52 až </w:t>
      </w:r>
      <w:r w:rsidR="00547A7E">
        <w:t xml:space="preserve">§ </w:t>
      </w:r>
      <w:r w:rsidRPr="006B5EE3">
        <w:t>55</w:t>
      </w:r>
      <w:r>
        <w:t xml:space="preserve"> daňového řádu</w:t>
      </w:r>
      <w:r w:rsidRPr="006B5EE3">
        <w:t>).</w:t>
      </w:r>
    </w:p>
    <w:p w:rsidR="00880FCF" w:rsidRDefault="00880FCF" w:rsidP="00880FCF">
      <w:r>
        <w:t xml:space="preserve">Ustanovení § 180 odst. 3 daňového řádu obsahuje taxativní výčet údajů, které je dlužník povinen uvést o svém majetku. Z tohoto výčtu jsou vyloučeny věci, které nepodléhají výkonu rozhodnutí, tedy zejména věci nižší hodnoty patřící dlužníkovi. </w:t>
      </w:r>
    </w:p>
    <w:p w:rsidR="00636B0C" w:rsidRDefault="00880FCF" w:rsidP="00880FCF">
      <w:r>
        <w:t xml:space="preserve">Úprava prohlášení o majetku v daňovém řádu je obdobou civilně procesní právní úpravy prohlášení o majetku, jež je upraveno v § 260a až 260h </w:t>
      </w:r>
      <w:r w:rsidR="009B68B6">
        <w:t>zákona č. 99/1963 Sb., občanský soudní řád, ve znění pozdějších předpisů (dále též jako „občanský soudní řád“ nebo „</w:t>
      </w:r>
      <w:r>
        <w:t>o. s. ř.</w:t>
      </w:r>
      <w:r w:rsidR="009B68B6">
        <w:t>“).</w:t>
      </w:r>
      <w:r>
        <w:t xml:space="preserve"> </w:t>
      </w:r>
      <w:r w:rsidR="00547A7E">
        <w:t>Obdobu</w:t>
      </w:r>
      <w:r>
        <w:t xml:space="preserve"> institut</w:t>
      </w:r>
      <w:r w:rsidR="00547A7E">
        <w:t>u</w:t>
      </w:r>
      <w:r>
        <w:t xml:space="preserve"> prohlášení o</w:t>
      </w:r>
      <w:r w:rsidR="00636B0C">
        <w:t> </w:t>
      </w:r>
      <w:r>
        <w:t xml:space="preserve">majetku </w:t>
      </w:r>
      <w:r w:rsidR="00547A7E">
        <w:t xml:space="preserve">zná </w:t>
      </w:r>
      <w:r>
        <w:t>i zákon o střetu zájm</w:t>
      </w:r>
      <w:r w:rsidR="00636B0C">
        <w:t>ů</w:t>
      </w:r>
      <w:r>
        <w:t xml:space="preserve"> (viz </w:t>
      </w:r>
      <w:r w:rsidR="00547A7E">
        <w:t>výše</w:t>
      </w:r>
      <w:r>
        <w:t xml:space="preserve">). </w:t>
      </w:r>
    </w:p>
    <w:p w:rsidR="00880FCF" w:rsidRDefault="00636B0C" w:rsidP="00880FCF">
      <w:r>
        <w:t>Úprava institutu prohlášení o majetku</w:t>
      </w:r>
      <w:r w:rsidR="00880FCF">
        <w:t xml:space="preserve"> </w:t>
      </w:r>
      <w:r>
        <w:t xml:space="preserve">v daňovém řádu sleduje jiný účel a nelze jí bez patřičné modifikace použít pro účely prokazování příjmů či majetku. Lze ji tak použít pouze jako inspiraci pro vytvoření obdobného mechanismu v zákoně o daních z příjmů. Díky vazbě </w:t>
      </w:r>
      <w:r w:rsidR="00C256A6">
        <w:t xml:space="preserve">stávajícího prohlášení o majetku </w:t>
      </w:r>
      <w:r>
        <w:t>na trestní zákoník (</w:t>
      </w:r>
      <w:r w:rsidR="004D73D3">
        <w:t xml:space="preserve">srov. </w:t>
      </w:r>
      <w:r>
        <w:t>§ 227) bude zajištěna potřebná kompatibilita</w:t>
      </w:r>
      <w:r w:rsidR="00C256A6">
        <w:t xml:space="preserve"> nového prohlášení o majetku</w:t>
      </w:r>
      <w:r>
        <w:t xml:space="preserve"> ve vztahu k trestnímu právu, aniž by bylo nutné vytvářet nový trestný čin (viz níže).</w:t>
      </w:r>
    </w:p>
    <w:p w:rsidR="00661987" w:rsidRPr="005D09BA" w:rsidRDefault="00BE48F7" w:rsidP="00F11574">
      <w:pPr>
        <w:pStyle w:val="text"/>
        <w:keepNext/>
        <w:ind w:firstLine="0"/>
        <w:rPr>
          <w:b/>
        </w:rPr>
      </w:pPr>
      <w:r>
        <w:rPr>
          <w:b/>
        </w:rPr>
        <w:lastRenderedPageBreak/>
        <w:t>Ad 1.2.</w:t>
      </w:r>
      <w:r w:rsidR="00661987" w:rsidRPr="005D09BA">
        <w:rPr>
          <w:b/>
        </w:rPr>
        <w:t xml:space="preserve">c) </w:t>
      </w:r>
      <w:r w:rsidR="005D09BA">
        <w:rPr>
          <w:b/>
          <w:bCs/>
        </w:rPr>
        <w:t>T</w:t>
      </w:r>
      <w:r w:rsidR="005D09BA" w:rsidRPr="005D09BA">
        <w:rPr>
          <w:b/>
          <w:bCs/>
        </w:rPr>
        <w:t>restný čin porušení povinnosti učinit pravdivé prohlášení o majetku</w:t>
      </w:r>
    </w:p>
    <w:p w:rsidR="008356A5" w:rsidRDefault="008356A5" w:rsidP="008356A5">
      <w:r>
        <w:t xml:space="preserve">Mimo </w:t>
      </w:r>
      <w:r w:rsidR="00CB7775">
        <w:t xml:space="preserve">daňové </w:t>
      </w:r>
      <w:r>
        <w:t xml:space="preserve">trestné činy, </w:t>
      </w:r>
      <w:r w:rsidR="00CB7775">
        <w:t>jejichž</w:t>
      </w:r>
      <w:r>
        <w:t xml:space="preserve"> vztah ke správě daní </w:t>
      </w:r>
      <w:r w:rsidR="00CB7775">
        <w:t xml:space="preserve">je </w:t>
      </w:r>
      <w:r>
        <w:t xml:space="preserve">neoddiskutovatelný, má pro správu daní </w:t>
      </w:r>
      <w:r w:rsidR="00C90BF7">
        <w:t xml:space="preserve">nemalý význam </w:t>
      </w:r>
      <w:r>
        <w:t xml:space="preserve">i skutková podstata trestného činu </w:t>
      </w:r>
      <w:r w:rsidRPr="0051614A">
        <w:rPr>
          <w:i/>
        </w:rPr>
        <w:t>porušení povinnosti učinit pravdivé prohlášení o majetku</w:t>
      </w:r>
      <w:r>
        <w:t xml:space="preserve"> podle § 227 trestního zákoníku. Skutková podstata</w:t>
      </w:r>
      <w:r w:rsidR="004D73D3">
        <w:t xml:space="preserve"> tohoto</w:t>
      </w:r>
      <w:r>
        <w:t xml:space="preserve"> trestného činu je</w:t>
      </w:r>
      <w:r w:rsidR="00B65FE8">
        <w:t> </w:t>
      </w:r>
      <w:r>
        <w:t>formulována značně obecně, přičemž cílí jak na prohlášení o majetku, jež mají být činěna vůči soudu (typicky prohlášení o majetku po</w:t>
      </w:r>
      <w:r w:rsidR="0051614A">
        <w:t>dle občanského soudního řádu či </w:t>
      </w:r>
      <w:r>
        <w:t>exekučního řádu), tak na prohlášení o majetku vůči správním orgánům, tedy včetně správce daně – srov.</w:t>
      </w:r>
      <w:r w:rsidR="00B65FE8">
        <w:t> </w:t>
      </w:r>
      <w:r>
        <w:t>prohlášení o majetku dle § 180 daňového řádu</w:t>
      </w:r>
      <w:r w:rsidR="004D73D3">
        <w:t xml:space="preserve"> využívané </w:t>
      </w:r>
      <w:r>
        <w:t>v rámci daňové exekuce.</w:t>
      </w:r>
    </w:p>
    <w:p w:rsidR="008356A5" w:rsidRDefault="008356A5" w:rsidP="008356A5">
      <w:r>
        <w:t xml:space="preserve">Jelikož je současná dikce předmětné skutkové podstaty formulována obecně, je </w:t>
      </w:r>
      <w:r w:rsidR="00C256A6">
        <w:t>možné pod ni</w:t>
      </w:r>
      <w:r w:rsidR="00E9717D">
        <w:t> </w:t>
      </w:r>
      <w:r>
        <w:t xml:space="preserve">fakticky vztáhnout jakékoliv prohlášení o majetku, tj. i prohlášení o majetku, které by cílilo na prokázání příjmů. </w:t>
      </w:r>
    </w:p>
    <w:p w:rsidR="008356A5" w:rsidRDefault="00C13CA2" w:rsidP="008356A5">
      <w:r>
        <w:t>Sankce ukládané</w:t>
      </w:r>
      <w:r w:rsidR="008356A5">
        <w:t xml:space="preserve"> podle trestního zákoníku musí naplňovat tzv. princip </w:t>
      </w:r>
      <w:r w:rsidR="008356A5" w:rsidRPr="0051614A">
        <w:rPr>
          <w:i/>
        </w:rPr>
        <w:t>ultima ra</w:t>
      </w:r>
      <w:r w:rsidR="00C256A6">
        <w:rPr>
          <w:i/>
        </w:rPr>
        <w:t>t</w:t>
      </w:r>
      <w:r w:rsidR="008356A5" w:rsidRPr="0051614A">
        <w:rPr>
          <w:i/>
        </w:rPr>
        <w:t>io</w:t>
      </w:r>
      <w:r w:rsidR="008356A5">
        <w:t xml:space="preserve">, neboť se předpokládá určitá míra společenské škodlivosti, přičemž jiná sankce než trestní není schopna </w:t>
      </w:r>
      <w:r>
        <w:t xml:space="preserve">tuto skutečnost </w:t>
      </w:r>
      <w:r w:rsidR="008356A5">
        <w:t xml:space="preserve">reflektovat. I přesto </w:t>
      </w:r>
      <w:r w:rsidR="0051614A">
        <w:t>lze na trestní sazby uvedené ve </w:t>
      </w:r>
      <w:r w:rsidR="008356A5">
        <w:t>skutkové podstatě trestného činu dle § 227 trestního zákoníku pohlížet jako na relativně mírné, neboť pachateli hrozí (mimo peněž</w:t>
      </w:r>
      <w:r w:rsidR="004D73D3">
        <w:t>itého trestu</w:t>
      </w:r>
      <w:r w:rsidR="008356A5">
        <w:t>) maximálně rok odnětí svobody</w:t>
      </w:r>
      <w:r w:rsidR="004D73D3">
        <w:t xml:space="preserve"> nebo zákaz činnosti</w:t>
      </w:r>
      <w:r w:rsidR="008356A5">
        <w:t xml:space="preserve">. </w:t>
      </w:r>
    </w:p>
    <w:p w:rsidR="00B87064" w:rsidRDefault="008356A5" w:rsidP="00B87064">
      <w:r>
        <w:t>Nabízí se tak otázka, nakolik je na základě současného znění dané skutkové podstaty trestného činu možno docílit kýžených efektů v případě, že by se pro účely prokazování příjmů využíval institut prohlášení o majetku. V případě prokazování příjmů lze totiž bezpochyby předpokládat poměrně vysokou škodlivost protiprávních jednání, která se v</w:t>
      </w:r>
      <w:r w:rsidR="00B65FE8">
        <w:t> </w:t>
      </w:r>
      <w:r>
        <w:t>souvislosti s prokazováním příjmů vyskytují. V případě, že by bylo nutné současný systém sankcí zpřísnit či jinak přehodnotit, nabízí se více variant řešení; zejména pak „pouhé“ zpřísnění sankce za nesplnění předmětné povinnosti pro všechny druhy činěných prohlášení o</w:t>
      </w:r>
      <w:r w:rsidR="00B65FE8">
        <w:t> </w:t>
      </w:r>
      <w:r>
        <w:t>majetku (tj. včetně prohlášení o majetku pro potřeby exekučního řádu, občanského soudního řádu, ale i prohlášení o majetku pro potřeby daňové exekuce - § 180 daňového řádu), nebo</w:t>
      </w:r>
      <w:r w:rsidR="00E9717D">
        <w:t> </w:t>
      </w:r>
      <w:r>
        <w:t xml:space="preserve">například zavedení tzv. kvalifikované skutkové podstaty tohoto trestného činu, která by se vztahovala toliko na prohlášení o majetku cílící na prokazování příjmů. </w:t>
      </w:r>
    </w:p>
    <w:p w:rsidR="005D09BA" w:rsidRDefault="005D09BA" w:rsidP="00E256FD"/>
    <w:p w:rsidR="00E256FD" w:rsidRDefault="00E256FD" w:rsidP="00E256FD">
      <w:r>
        <w:t>Platný právní stav v dotčené oblasti je v souladu s principem zákazu diskriminace.</w:t>
      </w:r>
    </w:p>
    <w:p w:rsidR="00B729BB" w:rsidRPr="00556015" w:rsidRDefault="00B729BB" w:rsidP="00FC6CFF">
      <w:pPr>
        <w:pStyle w:val="Nadpis2"/>
        <w:keepNext w:val="0"/>
        <w:numPr>
          <w:ilvl w:val="1"/>
          <w:numId w:val="9"/>
        </w:numPr>
        <w:shd w:val="clear" w:color="auto" w:fill="FFFFFF"/>
        <w:tabs>
          <w:tab w:val="clear" w:pos="1134"/>
          <w:tab w:val="num" w:pos="550"/>
        </w:tabs>
        <w:spacing w:before="480"/>
        <w:ind w:left="550" w:hanging="550"/>
        <w:jc w:val="both"/>
      </w:pPr>
      <w:r w:rsidRPr="00556015">
        <w:t>Odůvodnění hlavních principů navrhované právní úpravy</w:t>
      </w:r>
    </w:p>
    <w:p w:rsidR="00234F09" w:rsidRDefault="00E256FD" w:rsidP="00E256FD">
      <w:r w:rsidRPr="00831ED4">
        <w:t>Navrhovaná právní úprava má za cíl s </w:t>
      </w:r>
      <w:r w:rsidRPr="00C848BB">
        <w:t>účinností od 1. ledna 2016 vytvoř</w:t>
      </w:r>
      <w:r w:rsidR="003D16F2">
        <w:t>it</w:t>
      </w:r>
      <w:r w:rsidRPr="00C848BB">
        <w:t xml:space="preserve"> účinn</w:t>
      </w:r>
      <w:r w:rsidR="003D16F2">
        <w:t>ý</w:t>
      </w:r>
      <w:r w:rsidRPr="00C848BB">
        <w:t xml:space="preserve"> nástroj, který umožní prověřování, zda </w:t>
      </w:r>
      <w:r w:rsidR="00C256A6">
        <w:t>nárůst jmění poplatníka daně z příjmů</w:t>
      </w:r>
      <w:r w:rsidR="00B704A5">
        <w:t xml:space="preserve"> odpovíd</w:t>
      </w:r>
      <w:r w:rsidR="004D73D3">
        <w:t>á</w:t>
      </w:r>
      <w:r>
        <w:t xml:space="preserve"> příjmům</w:t>
      </w:r>
      <w:r w:rsidR="003D16F2">
        <w:t xml:space="preserve">, které </w:t>
      </w:r>
      <w:r>
        <w:t xml:space="preserve">správci daně </w:t>
      </w:r>
      <w:r w:rsidR="0056196A">
        <w:t xml:space="preserve">deklaroval </w:t>
      </w:r>
      <w:r>
        <w:t>v minulých obdobích</w:t>
      </w:r>
      <w:r w:rsidR="0056196A">
        <w:t xml:space="preserve">. </w:t>
      </w:r>
      <w:r w:rsidR="00B704A5">
        <w:t>Účelem je, aby n</w:t>
      </w:r>
      <w:r w:rsidR="0056196A">
        <w:t xml:space="preserve">epřiznaný a nezdaněný příjem zjištěný na základě tohoto postupu </w:t>
      </w:r>
      <w:r w:rsidR="00B704A5">
        <w:t xml:space="preserve">byl </w:t>
      </w:r>
      <w:r w:rsidR="0056196A">
        <w:t>následně</w:t>
      </w:r>
      <w:r w:rsidR="00B704A5">
        <w:t xml:space="preserve"> </w:t>
      </w:r>
      <w:r w:rsidR="0056196A">
        <w:t>zdaněn.</w:t>
      </w:r>
      <w:r w:rsidR="00C256A6">
        <w:t xml:space="preserve"> V návaznosti na míru spolupráce a přesvědčivost důkazů předložených poplatníkem pak bude </w:t>
      </w:r>
      <w:r w:rsidR="001A558F">
        <w:t xml:space="preserve">pro </w:t>
      </w:r>
      <w:r w:rsidR="00C256A6">
        <w:t>stanovení daně</w:t>
      </w:r>
      <w:r w:rsidR="001A558F">
        <w:t xml:space="preserve"> využita větší či menší míra kontumace (odhadu). Nepředpokládá se užití specifické sazby, nicméně lze očekávat, že právě díky metodě odhadu (stanovení daně podle pomůcek) bude poplatník dodanění pociťovat citelněji, než v případě, kdy by daň byla stanovena na základě dokazování. S kontumačním stanovením daně jsou rovněž spojeny vyšší sankce (penále).</w:t>
      </w:r>
    </w:p>
    <w:p w:rsidR="00556015" w:rsidRPr="00556015" w:rsidRDefault="00556015" w:rsidP="00B85A1E">
      <w:pPr>
        <w:pStyle w:val="Odstavecseseznamem"/>
        <w:numPr>
          <w:ilvl w:val="0"/>
          <w:numId w:val="22"/>
        </w:numPr>
        <w:spacing w:before="120"/>
        <w:rPr>
          <w:rFonts w:ascii="Times New Roman" w:hAnsi="Times New Roman" w:cs="Times New Roman"/>
          <w:b/>
          <w:vanish/>
          <w:sz w:val="24"/>
          <w:szCs w:val="24"/>
          <w:lang w:eastAsia="cs-CZ"/>
        </w:rPr>
      </w:pPr>
    </w:p>
    <w:p w:rsidR="005733FB" w:rsidRDefault="00BE48F7" w:rsidP="00B85A1E">
      <w:pPr>
        <w:pStyle w:val="text"/>
        <w:numPr>
          <w:ilvl w:val="1"/>
          <w:numId w:val="22"/>
        </w:numPr>
        <w:ind w:left="432"/>
        <w:rPr>
          <w:b/>
        </w:rPr>
      </w:pPr>
      <w:r>
        <w:rPr>
          <w:b/>
        </w:rPr>
        <w:t>Návrh zákona směřuje na</w:t>
      </w:r>
      <w:r w:rsidR="00556015">
        <w:rPr>
          <w:b/>
        </w:rPr>
        <w:t xml:space="preserve"> </w:t>
      </w:r>
      <w:r w:rsidR="00C90BF7">
        <w:rPr>
          <w:b/>
        </w:rPr>
        <w:t xml:space="preserve">zdanění nepřiznaných </w:t>
      </w:r>
      <w:r w:rsidR="00556015">
        <w:rPr>
          <w:b/>
        </w:rPr>
        <w:t>příjm</w:t>
      </w:r>
      <w:r w:rsidR="00C90BF7">
        <w:rPr>
          <w:b/>
        </w:rPr>
        <w:t>ů</w:t>
      </w:r>
      <w:r w:rsidR="00C94260">
        <w:rPr>
          <w:b/>
        </w:rPr>
        <w:t xml:space="preserve">, nikoli na </w:t>
      </w:r>
      <w:r w:rsidR="00C90BF7">
        <w:rPr>
          <w:b/>
        </w:rPr>
        <w:t xml:space="preserve">odčerpání </w:t>
      </w:r>
      <w:r w:rsidR="00C94260">
        <w:rPr>
          <w:b/>
        </w:rPr>
        <w:t>nelegální</w:t>
      </w:r>
      <w:r w:rsidR="00C90BF7">
        <w:rPr>
          <w:b/>
        </w:rPr>
        <w:t>ho majetku</w:t>
      </w:r>
    </w:p>
    <w:p w:rsidR="00B704A5" w:rsidRPr="009E0E0C" w:rsidRDefault="009E0E0C" w:rsidP="00556015">
      <w:pPr>
        <w:rPr>
          <w:b/>
        </w:rPr>
      </w:pPr>
      <w:r w:rsidRPr="009E0E0C">
        <w:t xml:space="preserve">Na základě diskuzí </w:t>
      </w:r>
      <w:r w:rsidR="00C90BF7">
        <w:t xml:space="preserve">vedených </w:t>
      </w:r>
      <w:r w:rsidRPr="009E0E0C">
        <w:t>na</w:t>
      </w:r>
      <w:r w:rsidR="00C90BF7">
        <w:t xml:space="preserve"> </w:t>
      </w:r>
      <w:r w:rsidR="00C90BF7" w:rsidRPr="009E0E0C">
        <w:t>politické nebo odborné</w:t>
      </w:r>
      <w:r w:rsidR="00C90BF7" w:rsidRPr="009E0E0C" w:rsidDel="00C90BF7">
        <w:t xml:space="preserve"> </w:t>
      </w:r>
      <w:r w:rsidRPr="009E0E0C">
        <w:t>úrovni</w:t>
      </w:r>
      <w:r w:rsidR="001A558F">
        <w:t xml:space="preserve"> a</w:t>
      </w:r>
      <w:r w:rsidR="005733FB">
        <w:t xml:space="preserve"> vypracov</w:t>
      </w:r>
      <w:r w:rsidR="001A558F">
        <w:t>ané</w:t>
      </w:r>
      <w:r w:rsidR="005733FB" w:rsidRPr="005733FB">
        <w:t xml:space="preserve"> </w:t>
      </w:r>
      <w:r w:rsidR="00C90BF7" w:rsidRPr="005733FB">
        <w:rPr>
          <w:i/>
        </w:rPr>
        <w:t>Analýzy prokazování původu majetku a možnosti jeho odčerpávání</w:t>
      </w:r>
      <w:r w:rsidRPr="005733FB">
        <w:rPr>
          <w:i/>
        </w:rPr>
        <w:t xml:space="preserve"> </w:t>
      </w:r>
      <w:r w:rsidR="00C90BF7">
        <w:t xml:space="preserve">(k analýze viz dále) </w:t>
      </w:r>
      <w:r w:rsidRPr="009E0E0C">
        <w:t xml:space="preserve">bylo vyhodnoceno, že </w:t>
      </w:r>
      <w:r w:rsidR="00556015" w:rsidRPr="009E0E0C">
        <w:t>pozornost</w:t>
      </w:r>
      <w:r w:rsidR="00C90BF7">
        <w:t xml:space="preserve"> by</w:t>
      </w:r>
      <w:r w:rsidR="00556015" w:rsidRPr="009E0E0C">
        <w:t xml:space="preserve"> neměla být soustředěna na odčerpání nelegálního majetku </w:t>
      </w:r>
      <w:r w:rsidR="00556015" w:rsidRPr="009E0E0C">
        <w:lastRenderedPageBreak/>
        <w:t>(k</w:t>
      </w:r>
      <w:r w:rsidR="00D27955">
        <w:t> </w:t>
      </w:r>
      <w:r w:rsidR="00556015" w:rsidRPr="009E0E0C">
        <w:t xml:space="preserve">tomu je nutné </w:t>
      </w:r>
      <w:r w:rsidR="00D27955">
        <w:t xml:space="preserve">lépe </w:t>
      </w:r>
      <w:r w:rsidR="00556015" w:rsidRPr="009E0E0C">
        <w:t>využívat již existujících nástrojů zejména z oboru trestního práva), ale</w:t>
      </w:r>
      <w:r w:rsidR="00B65FE8">
        <w:t> </w:t>
      </w:r>
      <w:r w:rsidR="00556015" w:rsidRPr="009E0E0C">
        <w:t xml:space="preserve">na efektivnější zdanění nepřiznaných (nezdaněných) příjmů. </w:t>
      </w:r>
      <w:r w:rsidRPr="009E0E0C">
        <w:t>N</w:t>
      </w:r>
      <w:r w:rsidR="00556015" w:rsidRPr="009E0E0C">
        <w:t xml:space="preserve">ávrh zákona </w:t>
      </w:r>
      <w:r w:rsidRPr="009E0E0C">
        <w:t>tedy necílí</w:t>
      </w:r>
      <w:r w:rsidR="00556015" w:rsidRPr="009E0E0C">
        <w:t xml:space="preserve"> na odčerpání nelegálně nabytého majetku</w:t>
      </w:r>
      <w:r w:rsidR="00D27955">
        <w:t xml:space="preserve"> či sankcionování pachatelů potenciálně trestné činnosti</w:t>
      </w:r>
      <w:r w:rsidR="00556015" w:rsidRPr="009E0E0C">
        <w:t xml:space="preserve"> prostřednictvím daní, ale na zdanění nepřiznaných a utajených příjmů.</w:t>
      </w:r>
    </w:p>
    <w:p w:rsidR="00B704A5" w:rsidRDefault="009E0E0C" w:rsidP="00B704A5">
      <w:r>
        <w:t xml:space="preserve">K odčerpání nelegálně nabytého majetku slouží </w:t>
      </w:r>
      <w:r w:rsidR="00B704A5">
        <w:t xml:space="preserve">jiné </w:t>
      </w:r>
      <w:r w:rsidR="00DA3F00">
        <w:t xml:space="preserve">standardní </w:t>
      </w:r>
      <w:r w:rsidR="00B704A5">
        <w:t>prostředky:</w:t>
      </w:r>
    </w:p>
    <w:p w:rsidR="00B704A5" w:rsidRPr="0051614A" w:rsidRDefault="00B704A5" w:rsidP="00B85A1E">
      <w:pPr>
        <w:pStyle w:val="text"/>
        <w:numPr>
          <w:ilvl w:val="0"/>
          <w:numId w:val="25"/>
        </w:numPr>
        <w:spacing w:before="60"/>
      </w:pPr>
      <w:r w:rsidRPr="0051614A">
        <w:t>trestního práva (objasňování a prověřování skutečností nasvědčujících tomu, že byl spáchán trestný čin, vyšetřování, další fáze trestního řízení a tresty, zajištění, ochranná opatření)</w:t>
      </w:r>
    </w:p>
    <w:p w:rsidR="00B704A5" w:rsidRDefault="00B704A5" w:rsidP="00B85A1E">
      <w:pPr>
        <w:pStyle w:val="text"/>
        <w:numPr>
          <w:ilvl w:val="0"/>
          <w:numId w:val="25"/>
        </w:numPr>
        <w:spacing w:before="60"/>
      </w:pPr>
      <w:r>
        <w:t>správního práva (správní řízení, kontrolní činnost a sankce</w:t>
      </w:r>
      <w:r w:rsidRPr="00F30184">
        <w:t>, zajištěn</w:t>
      </w:r>
      <w:r w:rsidRPr="00FE6522">
        <w:t>í</w:t>
      </w:r>
      <w:r w:rsidRPr="00F30184">
        <w:t>, ochranná opatřen</w:t>
      </w:r>
      <w:r w:rsidRPr="00FE6522">
        <w:t>í</w:t>
      </w:r>
      <w:r>
        <w:t>)</w:t>
      </w:r>
    </w:p>
    <w:p w:rsidR="00B704A5" w:rsidRDefault="00B704A5" w:rsidP="00B85A1E">
      <w:pPr>
        <w:pStyle w:val="text"/>
        <w:numPr>
          <w:ilvl w:val="0"/>
          <w:numId w:val="25"/>
        </w:numPr>
        <w:spacing w:before="60"/>
      </w:pPr>
      <w:r>
        <w:t>civilního práva (iniciativa poškozeného, vydání bezdůvodné obohacení</w:t>
      </w:r>
      <w:r w:rsidR="00D27955">
        <w:t>, reivindikační žaloba</w:t>
      </w:r>
      <w:r>
        <w:t>).</w:t>
      </w:r>
    </w:p>
    <w:p w:rsidR="00E773AD" w:rsidRDefault="00E773AD" w:rsidP="00B85A1E">
      <w:pPr>
        <w:pStyle w:val="text"/>
        <w:numPr>
          <w:ilvl w:val="1"/>
          <w:numId w:val="22"/>
        </w:numPr>
        <w:ind w:left="432"/>
        <w:rPr>
          <w:b/>
        </w:rPr>
      </w:pPr>
      <w:r w:rsidRPr="00F714FF">
        <w:rPr>
          <w:b/>
        </w:rPr>
        <w:t xml:space="preserve">Návrh zákona upravuje </w:t>
      </w:r>
      <w:r w:rsidR="00D27955">
        <w:rPr>
          <w:b/>
        </w:rPr>
        <w:t>především</w:t>
      </w:r>
      <w:r w:rsidRPr="00F714FF">
        <w:rPr>
          <w:b/>
        </w:rPr>
        <w:t xml:space="preserve"> daňové mechanismy a primárně necílí na</w:t>
      </w:r>
      <w:r w:rsidR="00B65FE8">
        <w:rPr>
          <w:b/>
        </w:rPr>
        <w:t> </w:t>
      </w:r>
      <w:r w:rsidRPr="00F714FF">
        <w:rPr>
          <w:b/>
        </w:rPr>
        <w:t>zefekt</w:t>
      </w:r>
      <w:r w:rsidRPr="00E773AD">
        <w:rPr>
          <w:b/>
        </w:rPr>
        <w:t>ivnění trestněprávních nástrojů</w:t>
      </w:r>
    </w:p>
    <w:p w:rsidR="00E773AD" w:rsidRPr="00F714FF" w:rsidRDefault="00E773AD" w:rsidP="00E773AD">
      <w:pPr>
        <w:rPr>
          <w:b/>
        </w:rPr>
      </w:pPr>
      <w:r w:rsidRPr="00F714FF">
        <w:t xml:space="preserve">Významným nástrojem v boji proti daňovým únikům je mimo jiné posílení jejich trestněprávního postihu zkvalitněním a zefektivněním činnosti orgánů činných v trestním řízení, resp. optimalizací rozložení jejich kompetencí. V současnosti orgány Finanční správy České republiky nedisponují žádnou kompetencí orgánů činných v trestním řízení. Pokud jde o orgány Celní správy České republiky, mají podle § 12 trestního řádu </w:t>
      </w:r>
      <w:r w:rsidR="00DA3F00">
        <w:t xml:space="preserve">(zákona č. 141/11961 Sb., trestní řád, ve znění pozdějších předpisů) </w:t>
      </w:r>
      <w:r w:rsidRPr="00F714FF">
        <w:t>postavení orgánů činných v trestním řízení jako tzv. policejní orgán</w:t>
      </w:r>
      <w:r w:rsidR="00DA3F00">
        <w:t>y</w:t>
      </w:r>
      <w:r w:rsidRPr="00F714FF">
        <w:t xml:space="preserve"> i pověřené celní orgány v řízení o</w:t>
      </w:r>
      <w:r w:rsidR="00D27955">
        <w:t> </w:t>
      </w:r>
      <w:r w:rsidRPr="00F714FF">
        <w:t>trestných činech spáchaných porušením celních předpisů a předpisů o dovozu, vývozu nebo průvozu zboží a dále porušením právních předpisů při umístění a pořízení zboží v členských státech Evropské unie, je-li toto zboží dopravováno přes státní hranice České republiky, a</w:t>
      </w:r>
      <w:r w:rsidR="00B65FE8">
        <w:t> </w:t>
      </w:r>
      <w:r w:rsidRPr="00F714FF">
        <w:t>v</w:t>
      </w:r>
      <w:r w:rsidR="00B65FE8">
        <w:t> </w:t>
      </w:r>
      <w:r w:rsidRPr="00F714FF">
        <w:t>případech porušení předpisů daňových, jsou-li celní orgány správcem daně podle jiného právního předpisu. Z</w:t>
      </w:r>
      <w:r w:rsidR="00F309F6">
        <w:t> </w:t>
      </w:r>
      <w:r w:rsidRPr="00F714FF">
        <w:t>dlouhodobého pohledu přicházejí v úvahu různé varianty řešení legislativního (např. úvahy na téma vytvoření specializované finanční policie) či</w:t>
      </w:r>
      <w:r w:rsidR="00B65FE8">
        <w:t> </w:t>
      </w:r>
      <w:r w:rsidRPr="00F714FF">
        <w:t>nelegislativního charakteru (např. efektivnější spolupráce orgánů činných v trestním řízení, správců daně a Finančně analytického útvaru Ministerstva financí, která je již aktuálně uskutečňována např. na bázi společného týmu Kobra). Uvažovat lze i o řešení v podobě koncentrace kompetence ke správě daní a kompetence orgánu činného v trestním řízení pro případy daňových trestných činů v</w:t>
      </w:r>
      <w:r w:rsidR="00F309F6">
        <w:t> </w:t>
      </w:r>
      <w:r w:rsidRPr="00F714FF">
        <w:t>rámci jednoho orgánu (tento model existuje např.</w:t>
      </w:r>
      <w:r w:rsidR="00B65FE8">
        <w:t> </w:t>
      </w:r>
      <w:r w:rsidRPr="00F714FF">
        <w:t>v</w:t>
      </w:r>
      <w:r w:rsidR="00B65FE8">
        <w:t> </w:t>
      </w:r>
      <w:r w:rsidRPr="00F714FF">
        <w:t>Německu). Konkrétním naplněním těchto úvah by mohlo být i rozšíření kompetencí pověřených celních orgánů v rámci trestního řízení tak, aby tato kompetence zahrnovala též případy porušení všech daňových předpisů, popř. jiných předpisů, podle nichž vykonávají své klíčové působnosti nejen celní orgány, ale</w:t>
      </w:r>
      <w:r w:rsidR="00F309F6">
        <w:t> </w:t>
      </w:r>
      <w:r w:rsidRPr="00F714FF">
        <w:t>i</w:t>
      </w:r>
      <w:r w:rsidR="00F309F6">
        <w:t> </w:t>
      </w:r>
      <w:r w:rsidRPr="00F714FF">
        <w:t>orgány Finanční správy České republiky. Dále lze uvažovat též o pozici celních orgánů jako tzv. vyšetřovacích orgánů, podléhajících v rámci trestního řízení přímo státnímu zástupci (namísto současného stavu, kdy je v případě celních orgánů nutno i ve výše uvedených věcech postupovat prostřednictvím Policie České republiky jako vyšetřovacího orgánu). Uvedenými změnami by došlo k významnému posílení možností orgánů v resortu Ministerstva financí bojovat s daňovými úniky, nicméně nutně by se muselo jednat o projekt komplexního řešení, které není ambicí tohoto návrhu zákona, který je zaměřen na prokazování příjmů a nikoliv na oblast trestněprávní represe.</w:t>
      </w:r>
    </w:p>
    <w:p w:rsidR="00234F09" w:rsidRPr="00661987" w:rsidRDefault="00CF4FEF" w:rsidP="00B85A1E">
      <w:pPr>
        <w:pStyle w:val="text"/>
        <w:numPr>
          <w:ilvl w:val="1"/>
          <w:numId w:val="22"/>
        </w:numPr>
        <w:ind w:left="432"/>
        <w:rPr>
          <w:b/>
        </w:rPr>
      </w:pPr>
      <w:r>
        <w:rPr>
          <w:b/>
        </w:rPr>
        <w:t>Předmětem právní úpravy jsou příjmy poplatníka</w:t>
      </w:r>
    </w:p>
    <w:p w:rsidR="00D31679" w:rsidRPr="00CF4FEF" w:rsidRDefault="00820F11" w:rsidP="00E256FD">
      <w:r>
        <w:t>Účelem n</w:t>
      </w:r>
      <w:r w:rsidR="00CF4FEF">
        <w:t>ávrh</w:t>
      </w:r>
      <w:r>
        <w:t>u</w:t>
      </w:r>
      <w:r w:rsidR="00CF4FEF">
        <w:t xml:space="preserve"> zákona </w:t>
      </w:r>
      <w:r>
        <w:t xml:space="preserve">je efektivnější zdanění nepřiznaných příjmů, nikoli zdanění nepřiznaného majetku. Majetek (jeho hodnota a výše) slouží správci daně jako pomocné </w:t>
      </w:r>
      <w:r>
        <w:lastRenderedPageBreak/>
        <w:t>kritérium</w:t>
      </w:r>
      <w:r w:rsidR="00CF4FEF">
        <w:t xml:space="preserve">, </w:t>
      </w:r>
      <w:r>
        <w:t>jehož prostřednictvím</w:t>
      </w:r>
      <w:r w:rsidR="00CF4FEF">
        <w:t xml:space="preserve"> posuzuje, zda příjem nebo jiné skutečnosti d</w:t>
      </w:r>
      <w:r>
        <w:t xml:space="preserve">eklarované poplatníkem odpovídají </w:t>
      </w:r>
      <w:r w:rsidR="00CF4FEF">
        <w:t>realitě nebo nikoli.</w:t>
      </w:r>
    </w:p>
    <w:p w:rsidR="00583A55" w:rsidRPr="00C90BF7" w:rsidRDefault="002D6A94" w:rsidP="00E256FD">
      <w:r w:rsidRPr="00C90BF7">
        <w:t>Obecně se pro potřeby definice majetku použije občanský zákoník</w:t>
      </w:r>
      <w:r w:rsidR="00DA3F00">
        <w:t xml:space="preserve"> (zákon č. 89/2012 Sb., občanský zákoník)</w:t>
      </w:r>
      <w:r w:rsidRPr="00C90BF7">
        <w:t xml:space="preserve"> jako obecný právní předpis. Občanský zákoník tak v § 495 definuje majetek jako „souhrn všeho, co patří osobě“; tedy jak osobě fyzické, tak osobě právnické. </w:t>
      </w:r>
      <w:r w:rsidR="00F37CF8" w:rsidRPr="00C90BF7">
        <w:t xml:space="preserve">Majetkem je třeba rozumět soubor věcí hmotných, ale i nehmotných. </w:t>
      </w:r>
      <w:r w:rsidRPr="00C90BF7">
        <w:t>Jinými slovy se jedná o</w:t>
      </w:r>
      <w:r w:rsidR="00F309F6">
        <w:t> </w:t>
      </w:r>
      <w:r w:rsidRPr="00C90BF7">
        <w:t>souhrn aktivních hodnotových položek náležející určité osobě</w:t>
      </w:r>
      <w:r w:rsidR="00477C1A" w:rsidRPr="00C90BF7">
        <w:t xml:space="preserve"> (viz důvodová zpráva k</w:t>
      </w:r>
      <w:r w:rsidR="00442A14">
        <w:t xml:space="preserve"> </w:t>
      </w:r>
      <w:r w:rsidR="00477C1A" w:rsidRPr="00C90BF7">
        <w:t xml:space="preserve">§ 495 občanského zákoníku). </w:t>
      </w:r>
      <w:r w:rsidR="00F37CF8" w:rsidRPr="00C90BF7">
        <w:t xml:space="preserve">Tuto tezi </w:t>
      </w:r>
      <w:r w:rsidR="003D5CAE" w:rsidRPr="00C90BF7">
        <w:t>lze podpořit zejména rozsudkem Evropského soudu pro lidská práva v případu Broniowski proti Polsku</w:t>
      </w:r>
      <w:r w:rsidR="0003532F" w:rsidRPr="00C90BF7">
        <w:t>.</w:t>
      </w:r>
      <w:r w:rsidR="003D5CAE" w:rsidRPr="00C90BF7">
        <w:t xml:space="preserve"> </w:t>
      </w:r>
      <w:r w:rsidR="0003532F" w:rsidRPr="00C90BF7">
        <w:t xml:space="preserve">Zde </w:t>
      </w:r>
      <w:r w:rsidR="003D5CAE" w:rsidRPr="00C90BF7">
        <w:t xml:space="preserve">se výslovně uvádí, </w:t>
      </w:r>
      <w:r w:rsidR="0003532F" w:rsidRPr="00C90BF7">
        <w:t xml:space="preserve">že majetkem – tak, jak jej chápe </w:t>
      </w:r>
      <w:r w:rsidR="0062507E" w:rsidRPr="00C90BF7">
        <w:t>článek 1 Protokolu č. 1 k</w:t>
      </w:r>
      <w:r w:rsidR="00A95D36">
        <w:t> </w:t>
      </w:r>
      <w:r w:rsidR="0003532F" w:rsidRPr="00C90BF7">
        <w:t>Úmluv</w:t>
      </w:r>
      <w:r w:rsidR="0062507E" w:rsidRPr="00C90BF7">
        <w:t>ě</w:t>
      </w:r>
      <w:r w:rsidR="0003532F" w:rsidRPr="00C90BF7">
        <w:t xml:space="preserve"> o</w:t>
      </w:r>
      <w:r w:rsidR="0062507E" w:rsidRPr="00C90BF7">
        <w:t> </w:t>
      </w:r>
      <w:r w:rsidR="0003532F" w:rsidRPr="00C90BF7">
        <w:t xml:space="preserve">ochraně lidských práv a základních svobod – </w:t>
      </w:r>
      <w:r w:rsidR="003D5CAE" w:rsidRPr="00C90BF7">
        <w:t>není možné rozumět</w:t>
      </w:r>
      <w:r w:rsidR="0003532F" w:rsidRPr="00C90BF7">
        <w:t xml:space="preserve"> toliko majetek hmotný, nýbrž i některá další práva a zájmy tvořící aktiva, zejména pak pohledávky.</w:t>
      </w:r>
      <w:r w:rsidR="00442A14">
        <w:t xml:space="preserve"> Mimo to </w:t>
      </w:r>
      <w:r w:rsidR="00A95D36">
        <w:t xml:space="preserve">je </w:t>
      </w:r>
      <w:r w:rsidR="00793C12">
        <w:t xml:space="preserve">pak </w:t>
      </w:r>
      <w:r w:rsidR="00A95D36">
        <w:t xml:space="preserve">třeba </w:t>
      </w:r>
      <w:r w:rsidR="00442A14">
        <w:t>majetk</w:t>
      </w:r>
      <w:r w:rsidR="00A95D36">
        <w:t>em rozumět</w:t>
      </w:r>
      <w:r w:rsidR="00442A14">
        <w:t xml:space="preserve"> </w:t>
      </w:r>
      <w:r w:rsidR="00A95D36">
        <w:t>nejen práva vyplývající z absolutních právních vztahů (tj. zejména vlastnické právo), ale i práva vyplývající z některých relativních právních vztahů – sem lze zařadit zejména pohledávky vzniklé v závazkovém právním vztahu.</w:t>
      </w:r>
    </w:p>
    <w:p w:rsidR="00793C12" w:rsidRDefault="0051222D" w:rsidP="00E256FD">
      <w:r>
        <w:t xml:space="preserve">Zákon dále používá pojem jmění, </w:t>
      </w:r>
      <w:r w:rsidR="00583A55">
        <w:t>který se od pojmu majetek liší tím, že obsahuje navíc i</w:t>
      </w:r>
      <w:r w:rsidR="004762B4">
        <w:t> </w:t>
      </w:r>
      <w:r w:rsidR="00583A55">
        <w:t>dluhy osoby. Jedná se tak o pojem širší</w:t>
      </w:r>
      <w:r w:rsidR="00793C12">
        <w:t>.</w:t>
      </w:r>
      <w:r w:rsidR="00583A55">
        <w:t xml:space="preserve"> </w:t>
      </w:r>
      <w:r w:rsidR="00793C12">
        <w:t>N</w:t>
      </w:r>
      <w:r w:rsidR="00583A55">
        <w:t xml:space="preserve">a rozdíl od majetku může být </w:t>
      </w:r>
      <w:r w:rsidR="00793C12">
        <w:t xml:space="preserve">jmění </w:t>
      </w:r>
      <w:r w:rsidR="00583A55">
        <w:t>i záporné (tj.</w:t>
      </w:r>
      <w:r w:rsidR="00B65FE8">
        <w:t> </w:t>
      </w:r>
      <w:r w:rsidR="00583A55">
        <w:t xml:space="preserve">pasiva převáží aktiva této osoby). </w:t>
      </w:r>
    </w:p>
    <w:p w:rsidR="0051222D" w:rsidRDefault="00793C12" w:rsidP="00E256FD">
      <w:r>
        <w:t>J</w:t>
      </w:r>
      <w:r w:rsidR="00583A55">
        <w:t xml:space="preserve">mění i majetek může pojmově náležet </w:t>
      </w:r>
      <w:r w:rsidR="003302B8">
        <w:t>i více osobám, jež tvoří společenství (blíže viz</w:t>
      </w:r>
      <w:r w:rsidR="00B65FE8">
        <w:t> </w:t>
      </w:r>
      <w:r w:rsidR="003302B8">
        <w:t xml:space="preserve">důvodová zpráva k </w:t>
      </w:r>
      <w:r w:rsidR="003302B8" w:rsidRPr="00C90BF7">
        <w:t>§ 495 občanského zákoníku</w:t>
      </w:r>
      <w:r w:rsidR="003302B8">
        <w:t>).</w:t>
      </w:r>
    </w:p>
    <w:p w:rsidR="00E256FD" w:rsidRDefault="00E256FD" w:rsidP="00E256FD">
      <w:r>
        <w:t xml:space="preserve">S ohledem na </w:t>
      </w:r>
      <w:r w:rsidR="00CF4FEF">
        <w:t xml:space="preserve">výše uvedené a na </w:t>
      </w:r>
      <w:r>
        <w:t xml:space="preserve">stanovený cíl je využit </w:t>
      </w:r>
      <w:r w:rsidRPr="00FA1325">
        <w:t>mechanismus příjmové daně</w:t>
      </w:r>
      <w:r>
        <w:t>, nikoli daně majetkové. Předmětem daně z příjmů nebude majetek, ale příjem, který odpovídá tomu, co daňový subjekt nedeklaroval, projevující se přírůstkem majetku (vlastnictvím)</w:t>
      </w:r>
      <w:r w:rsidR="00820F11">
        <w:t>. Příjem může být zdaněn daní z příjmů fyzických osob nebo daní z příjmů právnických osob v závislosti na osobě poplatníka.</w:t>
      </w:r>
    </w:p>
    <w:p w:rsidR="00820F11" w:rsidRDefault="00023DA4" w:rsidP="005C1742">
      <w:r>
        <w:t xml:space="preserve">Zákon primárně cílí na </w:t>
      </w:r>
      <w:r w:rsidR="00E0226B">
        <w:t xml:space="preserve">příjmy </w:t>
      </w:r>
      <w:r>
        <w:t>poplatník</w:t>
      </w:r>
      <w:r w:rsidR="00E0226B">
        <w:t>ů</w:t>
      </w:r>
      <w:r>
        <w:t xml:space="preserve"> daně z příjmů fyzických osob (tedy na fyzické osoby ve smyslu § 2 zákona o daních z příjmů). Z důvodu zabránění vyhýbání se daňovým povinnostem skrze právnické osoby, svěřenské fondy nebo jiné subjekty či non-subjekty však správce daně může mechani</w:t>
      </w:r>
      <w:r w:rsidR="00E0226B">
        <w:t>smu podrobit i</w:t>
      </w:r>
      <w:r>
        <w:t xml:space="preserve"> poplatníky daně z příjmů právnických osob.</w:t>
      </w:r>
      <w:r w:rsidR="00E0226B">
        <w:t xml:space="preserve"> </w:t>
      </w:r>
      <w:r w:rsidR="005C1742">
        <w:t>Podle</w:t>
      </w:r>
      <w:r w:rsidR="00E9717D">
        <w:t> </w:t>
      </w:r>
      <w:r w:rsidR="005C1742">
        <w:t>§ 17 zákona o daních z příjmů j</w:t>
      </w:r>
      <w:r>
        <w:t>sou</w:t>
      </w:r>
      <w:r w:rsidR="005C1742">
        <w:t xml:space="preserve"> poplatníkem daně z příjmů </w:t>
      </w:r>
      <w:r>
        <w:t>právnických osob právnické</w:t>
      </w:r>
      <w:r w:rsidR="005C1742">
        <w:t xml:space="preserve"> osob</w:t>
      </w:r>
      <w:r>
        <w:t>y</w:t>
      </w:r>
      <w:r w:rsidR="005C1742">
        <w:t>, organizační složk</w:t>
      </w:r>
      <w:r>
        <w:t>y</w:t>
      </w:r>
      <w:r w:rsidR="005C1742">
        <w:t xml:space="preserve"> státu, podílov</w:t>
      </w:r>
      <w:r>
        <w:t>é</w:t>
      </w:r>
      <w:r w:rsidR="005C1742">
        <w:t xml:space="preserve"> fond</w:t>
      </w:r>
      <w:r>
        <w:t>y</w:t>
      </w:r>
      <w:r w:rsidR="005C1742">
        <w:t xml:space="preserve"> podle zákona upravujícího investiční společnosti a investiční fondy,</w:t>
      </w:r>
      <w:r>
        <w:t xml:space="preserve"> </w:t>
      </w:r>
      <w:r w:rsidR="005C1742">
        <w:t>podfond</w:t>
      </w:r>
      <w:r>
        <w:t>y</w:t>
      </w:r>
      <w:r w:rsidR="005C1742">
        <w:t xml:space="preserve"> akciové společnosti s proměnným základním kapitálem podle zákona upravujícího investiční společnosti a investiční fondy, fond</w:t>
      </w:r>
      <w:r>
        <w:t>y</w:t>
      </w:r>
      <w:r w:rsidR="005C1742">
        <w:t xml:space="preserve"> penzijní společnosti, kterým</w:t>
      </w:r>
      <w:r w:rsidR="00DA3F00">
        <w:t>i</w:t>
      </w:r>
      <w:r w:rsidR="005C1742">
        <w:t xml:space="preserve"> se rozumí fond</w:t>
      </w:r>
      <w:r w:rsidR="00DA3F00">
        <w:t>y</w:t>
      </w:r>
      <w:r w:rsidR="005C1742">
        <w:t xml:space="preserve"> obhospodařovan</w:t>
      </w:r>
      <w:r w:rsidR="00DA3F00">
        <w:t>é</w:t>
      </w:r>
      <w:r w:rsidR="005C1742">
        <w:t xml:space="preserve"> penzijní společností podle zákona upravujícího důchodové spoření a podle zákona upravujícího doplňkové penzijní spoření,</w:t>
      </w:r>
      <w:r>
        <w:t xml:space="preserve"> </w:t>
      </w:r>
      <w:r w:rsidR="00DA3F00">
        <w:t xml:space="preserve">dále pak </w:t>
      </w:r>
      <w:r>
        <w:t>svěřenské</w:t>
      </w:r>
      <w:r w:rsidR="005C1742">
        <w:t xml:space="preserve"> fond</w:t>
      </w:r>
      <w:r>
        <w:t>y podle občanského zákoníku nebo jednotky, které</w:t>
      </w:r>
      <w:r w:rsidR="005C1742">
        <w:t xml:space="preserve"> j</w:t>
      </w:r>
      <w:r>
        <w:t>sou</w:t>
      </w:r>
      <w:r w:rsidR="005C1742">
        <w:t xml:space="preserve"> podle právního řádu státu, podle kterého je založena nebo zřízena, poplatníkem.</w:t>
      </w:r>
    </w:p>
    <w:p w:rsidR="004762B4" w:rsidRDefault="004762B4" w:rsidP="005C1742">
      <w:r>
        <w:t>N</w:t>
      </w:r>
      <w:r w:rsidRPr="004762B4">
        <w:t xml:space="preserve">avrhovaná ustanovení </w:t>
      </w:r>
      <w:r>
        <w:t xml:space="preserve">jsou </w:t>
      </w:r>
      <w:r w:rsidRPr="004762B4">
        <w:t>směřována</w:t>
      </w:r>
      <w:r>
        <w:t xml:space="preserve"> vůči poplatníkům daní z příjmů bez ohledu na to</w:t>
      </w:r>
      <w:r w:rsidRPr="004762B4">
        <w:t>,</w:t>
      </w:r>
      <w:r w:rsidR="00733041">
        <w:t xml:space="preserve"> zda</w:t>
      </w:r>
      <w:r w:rsidR="00741A36">
        <w:t> </w:t>
      </w:r>
      <w:r w:rsidR="00733041">
        <w:t>jsou daňovými rezidenty České republiky</w:t>
      </w:r>
      <w:r w:rsidRPr="004762B4">
        <w:t xml:space="preserve"> (v</w:t>
      </w:r>
      <w:r w:rsidR="00733041">
        <w:t>iz § 2 odst. 2 a § 17 odst. 4</w:t>
      </w:r>
      <w:r w:rsidR="00677C08">
        <w:t xml:space="preserve"> zákona o daních z</w:t>
      </w:r>
      <w:r w:rsidR="00540BF1">
        <w:t> </w:t>
      </w:r>
      <w:r w:rsidR="00677C08">
        <w:t>příjmů</w:t>
      </w:r>
      <w:r w:rsidR="00733041">
        <w:t xml:space="preserve">) nebo daňovými </w:t>
      </w:r>
      <w:r w:rsidRPr="004762B4">
        <w:t>nerezidenty (viz § 2 odst. 3 a § 17 odst. 4</w:t>
      </w:r>
      <w:r w:rsidR="00677C08" w:rsidRPr="00677C08">
        <w:t xml:space="preserve"> </w:t>
      </w:r>
      <w:r w:rsidR="00677C08">
        <w:t>zákona o daních z</w:t>
      </w:r>
      <w:r w:rsidR="00540BF1">
        <w:t> </w:t>
      </w:r>
      <w:r w:rsidR="00677C08">
        <w:t>příjmů</w:t>
      </w:r>
      <w:r w:rsidRPr="004762B4">
        <w:t>).</w:t>
      </w:r>
    </w:p>
    <w:p w:rsidR="00DF1D0F" w:rsidRPr="00661987" w:rsidRDefault="00C94260" w:rsidP="00B85A1E">
      <w:pPr>
        <w:pStyle w:val="text"/>
        <w:numPr>
          <w:ilvl w:val="1"/>
          <w:numId w:val="22"/>
        </w:numPr>
        <w:ind w:left="432"/>
        <w:rPr>
          <w:b/>
        </w:rPr>
      </w:pPr>
      <w:r>
        <w:rPr>
          <w:b/>
        </w:rPr>
        <w:t>Výzva k prokázání příjmů a stanovení daně podle pomůcek</w:t>
      </w:r>
    </w:p>
    <w:p w:rsidR="00D51713" w:rsidRPr="008C0FB6" w:rsidRDefault="00045959" w:rsidP="00E256FD">
      <w:r>
        <w:t>Zákonem navržený m</w:t>
      </w:r>
      <w:r w:rsidR="00FC46AC" w:rsidRPr="00E0226B">
        <w:t xml:space="preserve">echanismus </w:t>
      </w:r>
      <w:r w:rsidR="00E0226B" w:rsidRPr="00E0226B">
        <w:t>správci daně umožní</w:t>
      </w:r>
      <w:r w:rsidR="00FC46AC" w:rsidRPr="00E0226B">
        <w:t xml:space="preserve">, aby v případě, kdy zjistí nepoměr mezi příjmy deklarovanými poplatníkem a </w:t>
      </w:r>
      <w:r>
        <w:t>nárůstem jeho jmění</w:t>
      </w:r>
      <w:r w:rsidR="00FC46AC" w:rsidRPr="00E0226B">
        <w:t xml:space="preserve">, jej mohl vyzvat k prokázání skutečnosti, že </w:t>
      </w:r>
      <w:r>
        <w:t>nárůst jeho jmění</w:t>
      </w:r>
      <w:r w:rsidR="00E0226B" w:rsidRPr="00E0226B">
        <w:t xml:space="preserve"> odpovíd</w:t>
      </w:r>
      <w:r w:rsidR="00DA3F00">
        <w:t>á</w:t>
      </w:r>
      <w:r w:rsidR="00FC46AC" w:rsidRPr="00E0226B">
        <w:t xml:space="preserve"> jeho příjmům a že </w:t>
      </w:r>
      <w:r w:rsidR="00E0226B" w:rsidRPr="00E0226B">
        <w:t>tyto příjmy byly řádně zdaněny.</w:t>
      </w:r>
      <w:r w:rsidR="00E0226B">
        <w:t xml:space="preserve"> </w:t>
      </w:r>
      <w:r w:rsidR="00FC46AC" w:rsidRPr="008C0FB6">
        <w:t>Pokud poplatník důkazní břemeno</w:t>
      </w:r>
      <w:r w:rsidR="00E0226B" w:rsidRPr="008C0FB6">
        <w:t xml:space="preserve"> neunese</w:t>
      </w:r>
      <w:r w:rsidR="00FC46AC" w:rsidRPr="008C0FB6">
        <w:t xml:space="preserve">, správce daně </w:t>
      </w:r>
      <w:r w:rsidR="00D51713" w:rsidRPr="008C0FB6">
        <w:t xml:space="preserve">mu </w:t>
      </w:r>
      <w:r w:rsidR="003738D7">
        <w:t>stanoví</w:t>
      </w:r>
      <w:r w:rsidR="003738D7" w:rsidRPr="008C0FB6">
        <w:t xml:space="preserve"> </w:t>
      </w:r>
      <w:r w:rsidR="00D51713" w:rsidRPr="008C0FB6">
        <w:t xml:space="preserve">daň na základě </w:t>
      </w:r>
      <w:r w:rsidR="00540BF1">
        <w:lastRenderedPageBreak/>
        <w:t>pomůcek</w:t>
      </w:r>
      <w:r w:rsidR="00D51713" w:rsidRPr="008C0FB6">
        <w:t xml:space="preserve">. </w:t>
      </w:r>
      <w:r w:rsidR="00540BF1">
        <w:t xml:space="preserve">V závislosti na odhadu výše </w:t>
      </w:r>
      <w:r w:rsidR="003738D7">
        <w:t xml:space="preserve">stanovené daně </w:t>
      </w:r>
      <w:r w:rsidR="00540BF1">
        <w:t>pak využije buďto standardní pomůcky podle § 98 daňového řádu, nebo nově navržené pomůcky podle § 38za zákona o daních z</w:t>
      </w:r>
      <w:r w:rsidR="00B65FE8">
        <w:t> </w:t>
      </w:r>
      <w:r w:rsidR="00540BF1">
        <w:t>příjmů</w:t>
      </w:r>
      <w:r w:rsidR="00D51713" w:rsidRPr="008C0FB6">
        <w:t>.</w:t>
      </w:r>
      <w:r w:rsidR="00540BF1">
        <w:t xml:space="preserve"> Limitem pro použití těchto „zpřísněných“ pomůcek je očekávan</w:t>
      </w:r>
      <w:r w:rsidR="008F6369">
        <w:t>á výše stanovené daně</w:t>
      </w:r>
      <w:r w:rsidR="00540BF1">
        <w:t xml:space="preserve"> přesahující 2 mil. Kč.</w:t>
      </w:r>
    </w:p>
    <w:p w:rsidR="00722796" w:rsidRDefault="00D51713" w:rsidP="00045959">
      <w:r w:rsidRPr="008C0FB6">
        <w:t xml:space="preserve">V případech, kdy </w:t>
      </w:r>
      <w:r w:rsidR="00722796">
        <w:t>je</w:t>
      </w:r>
      <w:r w:rsidR="00727446">
        <w:t xml:space="preserve"> </w:t>
      </w:r>
      <w:r w:rsidRPr="008C0FB6">
        <w:t xml:space="preserve">daň </w:t>
      </w:r>
      <w:r w:rsidR="008F6369">
        <w:t>stanovena</w:t>
      </w:r>
      <w:r w:rsidR="008F6369" w:rsidRPr="008C0FB6">
        <w:t xml:space="preserve"> </w:t>
      </w:r>
      <w:r w:rsidR="00045959">
        <w:t>na základě pomůcek zvláštním způsobem</w:t>
      </w:r>
      <w:r w:rsidR="00722796">
        <w:t>,</w:t>
      </w:r>
      <w:r w:rsidR="00045959">
        <w:t xml:space="preserve"> </w:t>
      </w:r>
      <w:r w:rsidRPr="008C0FB6">
        <w:t>poplatníkovi vznikne povinnost uhradit penále v</w:t>
      </w:r>
      <w:r w:rsidR="00047F43">
        <w:t>e výši</w:t>
      </w:r>
      <w:r w:rsidR="00722796">
        <w:t xml:space="preserve"> </w:t>
      </w:r>
      <w:r w:rsidR="00047F43">
        <w:t>5</w:t>
      </w:r>
      <w:r w:rsidR="00722796">
        <w:t>0 %</w:t>
      </w:r>
      <w:r w:rsidRPr="008C0FB6">
        <w:t xml:space="preserve"> či </w:t>
      </w:r>
      <w:r w:rsidR="00047F43">
        <w:t>10</w:t>
      </w:r>
      <w:r w:rsidR="00722796">
        <w:t xml:space="preserve">0 %, a to </w:t>
      </w:r>
      <w:r w:rsidRPr="008C0FB6">
        <w:t>v</w:t>
      </w:r>
      <w:r w:rsidR="00722796">
        <w:t> </w:t>
      </w:r>
      <w:r w:rsidRPr="008C0FB6">
        <w:t xml:space="preserve">závislosti na </w:t>
      </w:r>
      <w:r w:rsidR="00727446">
        <w:t>míře</w:t>
      </w:r>
      <w:r w:rsidR="00045959">
        <w:t xml:space="preserve"> </w:t>
      </w:r>
      <w:r w:rsidRPr="008C0FB6">
        <w:t>součinnosti se správcem daně</w:t>
      </w:r>
      <w:r w:rsidR="00722796">
        <w:t>,</w:t>
      </w:r>
      <w:r w:rsidRPr="008C0FB6">
        <w:t xml:space="preserve"> oproti standardní výši </w:t>
      </w:r>
      <w:r w:rsidR="008C0FB6" w:rsidRPr="008C0FB6">
        <w:t>podle daňového řádu</w:t>
      </w:r>
      <w:r w:rsidR="00722796">
        <w:t xml:space="preserve"> (20 %)</w:t>
      </w:r>
      <w:r w:rsidR="008C0FB6" w:rsidRPr="008C0FB6">
        <w:t>.</w:t>
      </w:r>
      <w:r w:rsidR="008C0FB6">
        <w:t xml:space="preserve"> </w:t>
      </w:r>
    </w:p>
    <w:p w:rsidR="00045959" w:rsidRDefault="00E256FD" w:rsidP="00045959">
      <w:r>
        <w:t xml:space="preserve">V rozsahu, ve kterém nebude prokázán </w:t>
      </w:r>
      <w:r w:rsidR="00CB2CF6">
        <w:t xml:space="preserve">vznik a </w:t>
      </w:r>
      <w:r>
        <w:t>původ daného příjmu, bude stanoven základ daně dle pomůcek bez možnosti zohlednění položek modifikující</w:t>
      </w:r>
      <w:r w:rsidR="00DA3F00">
        <w:t>ch</w:t>
      </w:r>
      <w:r>
        <w:t xml:space="preserve"> základ daně nebo výslednou daň, </w:t>
      </w:r>
      <w:r w:rsidR="00727446">
        <w:t xml:space="preserve">které nebyly poplatníkem řádně prokázány. </w:t>
      </w:r>
      <w:r w:rsidR="00045959" w:rsidRPr="00E9705B">
        <w:t>Při stanovení daně podle pomůcek zvláštním způsobem se obecná právní úprava pomůcek podle da</w:t>
      </w:r>
      <w:r w:rsidR="00045959">
        <w:t>ňového řádu uplatní subsidiárně (ačkoli právní úprava stanovení daně podle pomůcek zvláštním způsobem je do značné míry komplexní).</w:t>
      </w:r>
    </w:p>
    <w:p w:rsidR="00722796" w:rsidRPr="00E9705B" w:rsidRDefault="00722796" w:rsidP="00045959">
      <w:r>
        <w:t>Samotná sazba daně není v návrhu jakkoli modifikována. Uplatní se tak standardní sazba 15 % u daně z příjmů fyzických osob, resp. 19 % u daně z příjmů právnických osob. Nicméně lze očekávat, že právě díky tomu, že základ daně, vůči němuž se sazba aplikuje, bude určen odhadem správce daně, bude poplatník dodanění pociťovat citelněji, než v případě, kdy by daň byla stanovena na základě dokazování. Současně je celková daňová zátěž navýšena o</w:t>
      </w:r>
      <w:r w:rsidR="00EA20D2">
        <w:t> </w:t>
      </w:r>
      <w:r>
        <w:t xml:space="preserve">výše zmíněné penále ve výši </w:t>
      </w:r>
      <w:r w:rsidR="00047F43">
        <w:t>5</w:t>
      </w:r>
      <w:r>
        <w:t>0</w:t>
      </w:r>
      <w:r w:rsidR="00EA20D2">
        <w:t xml:space="preserve"> %</w:t>
      </w:r>
      <w:r>
        <w:t xml:space="preserve">, resp. </w:t>
      </w:r>
      <w:r w:rsidR="00047F43">
        <w:t>10</w:t>
      </w:r>
      <w:r>
        <w:t>0 %.</w:t>
      </w:r>
    </w:p>
    <w:p w:rsidR="00E256FD" w:rsidRDefault="00FA1325" w:rsidP="00E256FD">
      <w:r>
        <w:t>Mechanismu</w:t>
      </w:r>
      <w:r w:rsidR="00EA20D2">
        <w:t>s</w:t>
      </w:r>
      <w:r>
        <w:t xml:space="preserve"> </w:t>
      </w:r>
      <w:r w:rsidR="00E256FD">
        <w:t xml:space="preserve">nebude uplatňován </w:t>
      </w:r>
      <w:r>
        <w:t>plošně</w:t>
      </w:r>
      <w:r w:rsidR="00E256FD">
        <w:t xml:space="preserve"> (</w:t>
      </w:r>
      <w:r w:rsidR="00EA20D2">
        <w:t>tj</w:t>
      </w:r>
      <w:r w:rsidR="00E256FD">
        <w:t>. prostřednictvím periodicky se opakujícího tvrzení určitých skutečností</w:t>
      </w:r>
      <w:r w:rsidR="00EA20D2">
        <w:t xml:space="preserve"> – jako by bylo např. majetkové přiznání</w:t>
      </w:r>
      <w:r w:rsidR="00E256FD">
        <w:t xml:space="preserve">), ale </w:t>
      </w:r>
      <w:r w:rsidR="00E256FD" w:rsidRPr="00307A73">
        <w:t>na</w:t>
      </w:r>
      <w:r w:rsidR="00E256FD">
        <w:t xml:space="preserve"> základě </w:t>
      </w:r>
      <w:r>
        <w:t>výzvy správce daně v důsledku indikace možné</w:t>
      </w:r>
      <w:r w:rsidR="00E256FD">
        <w:t xml:space="preserve"> existence nepřiznaného příjmu odpovídající</w:t>
      </w:r>
      <w:r>
        <w:t>ho</w:t>
      </w:r>
      <w:r w:rsidR="00E256FD">
        <w:t xml:space="preserve"> přírůstku </w:t>
      </w:r>
      <w:r w:rsidR="00045959">
        <w:t>jmění</w:t>
      </w:r>
      <w:r w:rsidR="00E256FD">
        <w:t xml:space="preserve">. </w:t>
      </w:r>
      <w:r>
        <w:t>M</w:t>
      </w:r>
      <w:r w:rsidR="00E256FD">
        <w:t xml:space="preserve">ožnost </w:t>
      </w:r>
      <w:r>
        <w:t>vyzvat poplatníka k prokázání příjmů</w:t>
      </w:r>
      <w:r w:rsidR="00E256FD">
        <w:t xml:space="preserve"> bude </w:t>
      </w:r>
      <w:r>
        <w:t xml:space="preserve">dále </w:t>
      </w:r>
      <w:r w:rsidR="00E256FD">
        <w:t>omezena na</w:t>
      </w:r>
      <w:r>
        <w:t> </w:t>
      </w:r>
      <w:r w:rsidR="00E256FD">
        <w:t>případy, kdy diskrepance mezi deklarovanými příjmy a skutečným příj</w:t>
      </w:r>
      <w:r w:rsidR="00DE4D88">
        <w:t>m</w:t>
      </w:r>
      <w:r w:rsidR="00E256FD">
        <w:t xml:space="preserve">em bude </w:t>
      </w:r>
      <w:r w:rsidR="00EA20D2">
        <w:t>na</w:t>
      </w:r>
      <w:r w:rsidR="00F309F6">
        <w:t> </w:t>
      </w:r>
      <w:r w:rsidR="00EA20D2">
        <w:t xml:space="preserve">základě předběžného posouzení správce daně </w:t>
      </w:r>
      <w:r w:rsidR="00E256FD">
        <w:t>přesahovat určitý limit.</w:t>
      </w:r>
      <w:r w:rsidR="00EA20D2">
        <w:t xml:space="preserve"> Tento limit je navržen ve výši </w:t>
      </w:r>
      <w:r w:rsidR="00B46F73">
        <w:t xml:space="preserve">5 </w:t>
      </w:r>
      <w:r w:rsidR="00EA20D2">
        <w:t>mil. Kč.</w:t>
      </w:r>
    </w:p>
    <w:p w:rsidR="00222502" w:rsidRDefault="002E2D3E" w:rsidP="00F11574">
      <w:pPr>
        <w:keepNext/>
        <w:spacing w:after="0"/>
        <w:jc w:val="center"/>
        <w:rPr>
          <w:rFonts w:asciiTheme="minorHAnsi" w:hAnsiTheme="minorHAnsi" w:cstheme="minorHAnsi"/>
          <w:b/>
        </w:rPr>
      </w:pPr>
      <w:r>
        <w:rPr>
          <w:rFonts w:asciiTheme="minorHAnsi" w:hAnsiTheme="minorHAnsi" w:cstheme="minorHAnsi"/>
          <w:b/>
        </w:rPr>
        <w:lastRenderedPageBreak/>
        <w:t xml:space="preserve">Obrázek č. 1 - </w:t>
      </w:r>
      <w:r w:rsidR="00222502" w:rsidRPr="00222502">
        <w:rPr>
          <w:rFonts w:asciiTheme="minorHAnsi" w:hAnsiTheme="minorHAnsi" w:cstheme="minorHAnsi"/>
          <w:b/>
        </w:rPr>
        <w:t xml:space="preserve">Proces </w:t>
      </w:r>
      <w:r w:rsidR="00222502">
        <w:rPr>
          <w:rFonts w:asciiTheme="minorHAnsi" w:hAnsiTheme="minorHAnsi" w:cstheme="minorHAnsi"/>
          <w:b/>
        </w:rPr>
        <w:t>prokazování příjmů</w:t>
      </w:r>
      <w:r w:rsidR="00DE4D88">
        <w:rPr>
          <w:rFonts w:asciiTheme="minorHAnsi" w:hAnsiTheme="minorHAnsi" w:cstheme="minorHAnsi"/>
          <w:b/>
        </w:rPr>
        <w:t xml:space="preserve"> a zvláštních pomůcek</w:t>
      </w:r>
    </w:p>
    <w:p w:rsidR="002B0BE9" w:rsidRDefault="007918FA" w:rsidP="00222502">
      <w:pPr>
        <w:ind w:left="-142"/>
      </w:pPr>
      <w:r>
        <w:object w:dxaOrig="7091" w:dyaOrig="53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345pt" o:ole="">
            <v:imagedata r:id="rId9" o:title=""/>
          </v:shape>
          <o:OLEObject Type="Embed" ProgID="PowerPoint.Show.12" ShapeID="_x0000_i1025" DrawAspect="Content" ObjectID="_1477387440" r:id="rId10"/>
        </w:object>
      </w:r>
    </w:p>
    <w:p w:rsidR="00C94260" w:rsidRDefault="00C94260" w:rsidP="00B85A1E">
      <w:pPr>
        <w:pStyle w:val="text"/>
        <w:keepNext/>
        <w:numPr>
          <w:ilvl w:val="1"/>
          <w:numId w:val="22"/>
        </w:numPr>
        <w:ind w:left="431" w:hanging="431"/>
        <w:rPr>
          <w:b/>
        </w:rPr>
      </w:pPr>
      <w:r>
        <w:rPr>
          <w:b/>
        </w:rPr>
        <w:t>Přenos důkazního břemene</w:t>
      </w:r>
    </w:p>
    <w:p w:rsidR="00727446" w:rsidRDefault="00C94260" w:rsidP="00C94260">
      <w:r w:rsidRPr="00FC6CFF">
        <w:t xml:space="preserve">Podle obecné právní úpravy v daňovém řádu je daňový subjekt povinen prokázat všechny skutečnosti, které je povinen uvádět v daňovém tvrzení a dalších podáních (§ 92 odst. 3 daňového řádu). Důkazní povinnost i důkazní břemeno nese daňový subjekt. Tento princip bude zachován i u nového mechanismu s tím, že </w:t>
      </w:r>
      <w:r w:rsidR="00FC6CFF" w:rsidRPr="00FC6CFF">
        <w:t xml:space="preserve">důkazní břemeno </w:t>
      </w:r>
      <w:r w:rsidR="00727446">
        <w:t>je</w:t>
      </w:r>
      <w:r w:rsidR="00727446" w:rsidRPr="00FC6CFF">
        <w:t xml:space="preserve"> </w:t>
      </w:r>
      <w:r w:rsidR="00727446">
        <w:t>rozšířeno o další zákonem stanovené skutečnosti</w:t>
      </w:r>
      <w:r w:rsidRPr="00FC6CFF">
        <w:t>.</w:t>
      </w:r>
    </w:p>
    <w:p w:rsidR="00C94260" w:rsidRDefault="00C94260" w:rsidP="00C94260">
      <w:r w:rsidRPr="00FC6CFF">
        <w:t>Pokud správce daně na základě svých poznatk</w:t>
      </w:r>
      <w:r w:rsidR="00FC6CFF" w:rsidRPr="00FC6CFF">
        <w:t>ů a indicií důvodně předpokládá</w:t>
      </w:r>
      <w:r w:rsidRPr="00FC6CFF">
        <w:t xml:space="preserve">, že </w:t>
      </w:r>
      <w:r w:rsidR="00727446">
        <w:t>nárůst jmění poplatníka</w:t>
      </w:r>
      <w:r w:rsidR="00654449">
        <w:t xml:space="preserve"> </w:t>
      </w:r>
      <w:r w:rsidRPr="00FC6CFF">
        <w:t>neodpovíd</w:t>
      </w:r>
      <w:r w:rsidR="00727446">
        <w:t>ají</w:t>
      </w:r>
      <w:r w:rsidRPr="00FC6CFF">
        <w:t xml:space="preserve"> </w:t>
      </w:r>
      <w:r w:rsidR="00FC6CFF" w:rsidRPr="00FC6CFF">
        <w:t>jím deklarovaným příjmům, vyzve</w:t>
      </w:r>
      <w:r w:rsidRPr="00FC6CFF">
        <w:t xml:space="preserve"> </w:t>
      </w:r>
      <w:r w:rsidR="00FC6CFF" w:rsidRPr="00FC6CFF">
        <w:t>poplatníka</w:t>
      </w:r>
      <w:r w:rsidRPr="00FC6CFF">
        <w:t>, aby prokázal opak</w:t>
      </w:r>
      <w:r w:rsidR="00FC6CFF">
        <w:t>. Pokud poplatník důkazní břemeno neunese</w:t>
      </w:r>
      <w:r w:rsidR="00727446">
        <w:t xml:space="preserve"> (neprokáže </w:t>
      </w:r>
      <w:r w:rsidR="003738D7">
        <w:t xml:space="preserve">vznik a </w:t>
      </w:r>
      <w:r w:rsidR="00727446">
        <w:t>původ svých příjmů</w:t>
      </w:r>
      <w:r w:rsidR="00FE61A6">
        <w:t xml:space="preserve"> a</w:t>
      </w:r>
      <w:r w:rsidR="00F309F6">
        <w:t> </w:t>
      </w:r>
      <w:r w:rsidR="00FE61A6">
        <w:t>další požadované skutečnosti</w:t>
      </w:r>
      <w:r w:rsidR="00727446">
        <w:t>)</w:t>
      </w:r>
      <w:r w:rsidR="00FC6CFF">
        <w:t xml:space="preserve">, bude mu daň </w:t>
      </w:r>
      <w:r w:rsidR="008F6369">
        <w:t>stanovena</w:t>
      </w:r>
      <w:r w:rsidR="008F6369" w:rsidRPr="00FC6CFF">
        <w:t xml:space="preserve"> </w:t>
      </w:r>
      <w:r w:rsidRPr="00FC6CFF">
        <w:t>podle pomůcek.</w:t>
      </w:r>
    </w:p>
    <w:p w:rsidR="00C94260" w:rsidRDefault="00C94260" w:rsidP="00B85A1E">
      <w:pPr>
        <w:pStyle w:val="text"/>
        <w:numPr>
          <w:ilvl w:val="1"/>
          <w:numId w:val="22"/>
        </w:numPr>
        <w:ind w:left="432"/>
        <w:rPr>
          <w:b/>
        </w:rPr>
      </w:pPr>
      <w:r>
        <w:rPr>
          <w:b/>
        </w:rPr>
        <w:t>V</w:t>
      </w:r>
      <w:r w:rsidRPr="00C94260">
        <w:rPr>
          <w:b/>
        </w:rPr>
        <w:t>ztah k prekluzivní lhůtě</w:t>
      </w:r>
    </w:p>
    <w:p w:rsidR="00396EDD" w:rsidRDefault="002B0E60" w:rsidP="00C94260">
      <w:r w:rsidRPr="002B0E60">
        <w:t>Návrh zákona respektuje standardní lhůtu</w:t>
      </w:r>
      <w:r w:rsidR="00C94260" w:rsidRPr="002B0E60">
        <w:t xml:space="preserve"> pro stanovení daně podle daňového řádu, </w:t>
      </w:r>
      <w:r>
        <w:t>která činí</w:t>
      </w:r>
      <w:r w:rsidR="00C94260" w:rsidRPr="002B0E60">
        <w:t xml:space="preserve"> 3 roky (maximálně 10 let v případech stanovených zákonem</w:t>
      </w:r>
      <w:r>
        <w:t>, viz § 148 daňového řádu</w:t>
      </w:r>
      <w:r w:rsidR="00C94260" w:rsidRPr="002B0E60">
        <w:t xml:space="preserve">). </w:t>
      </w:r>
      <w:r>
        <w:t>N</w:t>
      </w:r>
      <w:r w:rsidR="00C94260" w:rsidRPr="002B0E60">
        <w:t>ové instrumenty, které bud</w:t>
      </w:r>
      <w:r>
        <w:t xml:space="preserve">e mít správce daně k dispozici, jsou </w:t>
      </w:r>
      <w:r w:rsidR="00C94260" w:rsidRPr="002B0E60">
        <w:t>nástroji procesními</w:t>
      </w:r>
      <w:r>
        <w:t xml:space="preserve"> a</w:t>
      </w:r>
      <w:r w:rsidR="00C94260" w:rsidRPr="002B0E60">
        <w:t xml:space="preserve"> lze je </w:t>
      </w:r>
      <w:r>
        <w:t xml:space="preserve">tak </w:t>
      </w:r>
      <w:r w:rsidR="00C94260" w:rsidRPr="002B0E60">
        <w:t xml:space="preserve">využít pro zdaňovací období, u nichž </w:t>
      </w:r>
      <w:r>
        <w:t>dosud neuplynula lhůta pro stanovení daně</w:t>
      </w:r>
      <w:r w:rsidR="00396EDD">
        <w:t>.</w:t>
      </w:r>
      <w:r w:rsidR="00AF227A">
        <w:t xml:space="preserve"> Za</w:t>
      </w:r>
      <w:r w:rsidR="00F309F6">
        <w:t> </w:t>
      </w:r>
      <w:r w:rsidR="00AF227A">
        <w:t xml:space="preserve">zdaňovací období, za které lhůta pro stanovení daně již uplynula, nebude možné daň </w:t>
      </w:r>
      <w:r w:rsidR="008F6369">
        <w:t>stanovit</w:t>
      </w:r>
      <w:r w:rsidR="00AF227A">
        <w:t>.</w:t>
      </w:r>
    </w:p>
    <w:p w:rsidR="00C94260" w:rsidRPr="00396EDD" w:rsidRDefault="00C94260" w:rsidP="00C94260">
      <w:r w:rsidRPr="00396EDD">
        <w:t xml:space="preserve">Aby poplatník unesl důkazní břemeno, </w:t>
      </w:r>
      <w:r w:rsidR="00396EDD">
        <w:t xml:space="preserve">bude </w:t>
      </w:r>
      <w:r w:rsidR="00F70FA8">
        <w:t xml:space="preserve">v některých případech </w:t>
      </w:r>
      <w:r w:rsidR="00396EDD">
        <w:t>nutné, aby</w:t>
      </w:r>
      <w:r w:rsidRPr="00396EDD">
        <w:t xml:space="preserve"> </w:t>
      </w:r>
      <w:r w:rsidR="00D413EC">
        <w:t>doložil</w:t>
      </w:r>
      <w:r w:rsidRPr="00396EDD">
        <w:t xml:space="preserve"> i</w:t>
      </w:r>
      <w:r w:rsidR="00B65FE8">
        <w:t> </w:t>
      </w:r>
      <w:r w:rsidRPr="00396EDD">
        <w:t>příjmy</w:t>
      </w:r>
      <w:r w:rsidR="00CA38E4">
        <w:t xml:space="preserve"> či jiné skutečnosti</w:t>
      </w:r>
      <w:r w:rsidRPr="00396EDD">
        <w:t xml:space="preserve">, které </w:t>
      </w:r>
      <w:r w:rsidR="00FE61A6">
        <w:t>nastaly</w:t>
      </w:r>
      <w:r w:rsidR="00FE61A6" w:rsidRPr="00396EDD">
        <w:t xml:space="preserve"> </w:t>
      </w:r>
      <w:r w:rsidRPr="00396EDD">
        <w:t>p</w:t>
      </w:r>
      <w:r w:rsidR="00396EDD">
        <w:t xml:space="preserve">řed uplynutím prekluzivní lhůty. </w:t>
      </w:r>
      <w:r w:rsidR="00D413EC">
        <w:t>Návrh zákona</w:t>
      </w:r>
      <w:r w:rsidR="00396EDD">
        <w:t xml:space="preserve"> upravuje výslovnou povinnost poplatníka prokázat i </w:t>
      </w:r>
      <w:r w:rsidR="009345EE">
        <w:t xml:space="preserve">tyto </w:t>
      </w:r>
      <w:r w:rsidR="00FE61A6">
        <w:t>skutečnost</w:t>
      </w:r>
      <w:r w:rsidR="009345EE">
        <w:t>i</w:t>
      </w:r>
      <w:r w:rsidR="00396EDD">
        <w:t xml:space="preserve">. </w:t>
      </w:r>
      <w:r w:rsidR="00CA38E4">
        <w:t xml:space="preserve">Správce daně je však povinen </w:t>
      </w:r>
      <w:r w:rsidR="00CA38E4">
        <w:lastRenderedPageBreak/>
        <w:t>respektovat skute</w:t>
      </w:r>
      <w:r w:rsidR="00236162">
        <w:t>čnost</w:t>
      </w:r>
      <w:r w:rsidR="00CA38E4">
        <w:t>, že d</w:t>
      </w:r>
      <w:r w:rsidR="00CA38E4" w:rsidRPr="000F0DE4">
        <w:t xml:space="preserve">ůkazní břemeno </w:t>
      </w:r>
      <w:r w:rsidR="00CA38E4">
        <w:t>daňového subjektu</w:t>
      </w:r>
      <w:r w:rsidR="00CA38E4" w:rsidRPr="000F0DE4">
        <w:t xml:space="preserve"> slábne úměrně tomu, jak moc do minulosti výzva správce daně cílí. </w:t>
      </w:r>
      <w:r w:rsidR="001B0931">
        <w:t>Výjimkou mohou být například veřejně činné osoby, jejich postavení ve společnosti a vztah k veřejným rozpočtům implikuje, že kritérium času u</w:t>
      </w:r>
      <w:r w:rsidR="00F309F6">
        <w:t> </w:t>
      </w:r>
      <w:r w:rsidR="001B0931">
        <w:t xml:space="preserve">nich může být delší. </w:t>
      </w:r>
      <w:r w:rsidR="00396EDD">
        <w:t xml:space="preserve">Přestože </w:t>
      </w:r>
      <w:r w:rsidR="00197B5C">
        <w:t xml:space="preserve">s </w:t>
      </w:r>
      <w:r w:rsidR="00197B5C" w:rsidRPr="00396EDD">
        <w:t xml:space="preserve">ohledem na uplynutí </w:t>
      </w:r>
      <w:r w:rsidR="00197B5C">
        <w:t xml:space="preserve">prekluzivní </w:t>
      </w:r>
      <w:r w:rsidR="00197B5C" w:rsidRPr="00396EDD">
        <w:t xml:space="preserve">lhůty </w:t>
      </w:r>
      <w:r w:rsidR="00396EDD">
        <w:t xml:space="preserve">nebude možné </w:t>
      </w:r>
      <w:r w:rsidR="009929C1">
        <w:t xml:space="preserve">zjištěné </w:t>
      </w:r>
      <w:r w:rsidR="00197B5C">
        <w:t xml:space="preserve">příjmy </w:t>
      </w:r>
      <w:r w:rsidRPr="00396EDD">
        <w:t xml:space="preserve">zdanit, </w:t>
      </w:r>
      <w:r w:rsidR="00396EDD">
        <w:t xml:space="preserve">poslouží </w:t>
      </w:r>
      <w:r w:rsidR="00197B5C">
        <w:t xml:space="preserve">tato </w:t>
      </w:r>
      <w:r w:rsidR="00197B5C" w:rsidRPr="00396EDD">
        <w:t>informace</w:t>
      </w:r>
      <w:r w:rsidR="00197B5C">
        <w:t xml:space="preserve"> </w:t>
      </w:r>
      <w:r w:rsidR="00396EDD">
        <w:t>správci daně</w:t>
      </w:r>
      <w:r w:rsidR="00197B5C">
        <w:t xml:space="preserve"> pro účely dalšího postupu</w:t>
      </w:r>
      <w:r w:rsidR="00396EDD">
        <w:t xml:space="preserve"> a </w:t>
      </w:r>
      <w:r w:rsidRPr="00396EDD">
        <w:t xml:space="preserve">může </w:t>
      </w:r>
      <w:r w:rsidR="00396EDD">
        <w:t>se stát</w:t>
      </w:r>
      <w:r w:rsidRPr="00396EDD">
        <w:t xml:space="preserve"> podnětem pro orgány činné v trestním řízení z hlediska možného podezření na zkrácení daně (lhůty pro zánik trestnosti jsou delší, než lhůta pro stanovení daně). Pokud by došlo k</w:t>
      </w:r>
      <w:r w:rsidR="00F309F6">
        <w:t> </w:t>
      </w:r>
      <w:r w:rsidRPr="00396EDD">
        <w:t>pravomocnému odsouzení za daňový trestný čin, umožňuje § 148 odst. 6 daňového řádu stanovit daň bez ohledu na to, že již uplynula lhůta pro stanovení daně.</w:t>
      </w:r>
    </w:p>
    <w:p w:rsidR="00DF1D0F" w:rsidRDefault="00DF1D0F" w:rsidP="00B85A1E">
      <w:pPr>
        <w:pStyle w:val="text"/>
        <w:numPr>
          <w:ilvl w:val="1"/>
          <w:numId w:val="22"/>
        </w:numPr>
        <w:ind w:left="432"/>
        <w:rPr>
          <w:b/>
        </w:rPr>
      </w:pPr>
      <w:r>
        <w:rPr>
          <w:b/>
        </w:rPr>
        <w:t>Prohlášení o majetku</w:t>
      </w:r>
    </w:p>
    <w:p w:rsidR="005868A1" w:rsidRPr="005868A1" w:rsidRDefault="00FC46AC" w:rsidP="00FC46AC">
      <w:r w:rsidRPr="005868A1">
        <w:t>Jedním z nástrojů, které bude správce daně oprávněn použít k odhalení nepřiznaných příjmů a</w:t>
      </w:r>
      <w:r w:rsidR="00B65FE8">
        <w:t> </w:t>
      </w:r>
      <w:r w:rsidRPr="005868A1">
        <w:t>majetku poplatníka, bude institut prohlášení o majetku</w:t>
      </w:r>
      <w:r w:rsidR="005868A1" w:rsidRPr="005868A1">
        <w:t>. Tento institut bude vycházet z prohlášení o majetku využívané</w:t>
      </w:r>
      <w:r w:rsidR="007B22C6">
        <w:t>ho</w:t>
      </w:r>
      <w:r w:rsidR="005868A1" w:rsidRPr="005868A1">
        <w:t xml:space="preserve"> v rámci exekučního řízení (viz výše).</w:t>
      </w:r>
      <w:r w:rsidR="002E43CD" w:rsidRPr="002E43CD">
        <w:t xml:space="preserve"> </w:t>
      </w:r>
      <w:r w:rsidR="002E43CD" w:rsidRPr="005868A1">
        <w:t>Na rozdíl od</w:t>
      </w:r>
      <w:r w:rsidR="00F309F6">
        <w:t> </w:t>
      </w:r>
      <w:r w:rsidR="002E43CD" w:rsidRPr="005868A1">
        <w:t xml:space="preserve">majetkových přiznání </w:t>
      </w:r>
      <w:r w:rsidR="002E43CD">
        <w:t>není prohlášen</w:t>
      </w:r>
      <w:r w:rsidR="00885D99">
        <w:t>í o majetku plošným nástrojem. S</w:t>
      </w:r>
      <w:r w:rsidR="002E43CD" w:rsidRPr="005868A1">
        <w:t>právce daně</w:t>
      </w:r>
      <w:r w:rsidR="00D272D8">
        <w:t xml:space="preserve"> vyzve poplatníka k jeho podání</w:t>
      </w:r>
      <w:r w:rsidR="002E43CD" w:rsidRPr="005868A1">
        <w:t xml:space="preserve"> pouze v případech, </w:t>
      </w:r>
      <w:r w:rsidR="00D272D8">
        <w:t>kdy to shledá jako</w:t>
      </w:r>
      <w:r w:rsidR="002E43CD" w:rsidRPr="005868A1">
        <w:t xml:space="preserve"> důvodné.</w:t>
      </w:r>
      <w:r w:rsidR="00D272D8">
        <w:t xml:space="preserve"> </w:t>
      </w:r>
      <w:r w:rsidR="00885D99">
        <w:t>Poplatník, jehož majetek, který se do prohlášení o majetku uvádí</w:t>
      </w:r>
      <w:r w:rsidR="004A20D3">
        <w:t xml:space="preserve"> (není nutné uvádět majetek, který si správce daně může zjistit z dostupných rejstříků a evidencí – např. katastr nemovitostí</w:t>
      </w:r>
      <w:r w:rsidR="003877F8">
        <w:t xml:space="preserve"> či registr motorových vozidel</w:t>
      </w:r>
      <w:r w:rsidR="004A20D3">
        <w:t>)</w:t>
      </w:r>
      <w:r w:rsidR="00885D99">
        <w:t>, nedosáhne hranice předvídané zákonem</w:t>
      </w:r>
      <w:r w:rsidR="004A20D3">
        <w:t xml:space="preserve"> (10 mil. Kč)</w:t>
      </w:r>
      <w:r w:rsidR="00885D99">
        <w:t xml:space="preserve">, </w:t>
      </w:r>
      <w:r w:rsidR="00316E5A">
        <w:t>nebude</w:t>
      </w:r>
      <w:r w:rsidR="00885D99">
        <w:t xml:space="preserve"> povinen podat podrobné prohlášení o majetku. V prohlášení pouze uvede, že celková výše jeho majetku nepřekračuje zákonný limit.</w:t>
      </w:r>
    </w:p>
    <w:p w:rsidR="00D272D8" w:rsidRDefault="005868A1" w:rsidP="00FC46AC">
      <w:r w:rsidRPr="005868A1">
        <w:t xml:space="preserve">Poplatník </w:t>
      </w:r>
      <w:r w:rsidR="00D272D8">
        <w:t>je</w:t>
      </w:r>
      <w:r w:rsidRPr="005868A1">
        <w:t xml:space="preserve"> povinen v prohlášení </w:t>
      </w:r>
      <w:r w:rsidR="00D272D8">
        <w:t xml:space="preserve">o majetku </w:t>
      </w:r>
      <w:r w:rsidR="00FC46AC" w:rsidRPr="005868A1">
        <w:t>uvést výčet svého majetku a další údaje</w:t>
      </w:r>
      <w:r w:rsidRPr="005868A1">
        <w:t xml:space="preserve"> stanovené zákonem</w:t>
      </w:r>
      <w:r w:rsidR="00D272D8">
        <w:t>. Oproti prohlášení o majetku podle daňového řádu, které je využíváno pro účely vymáhání (§ 180), bude okruh údajů širší. Půjde o údaje, které mohou</w:t>
      </w:r>
      <w:r w:rsidRPr="005868A1">
        <w:t xml:space="preserve"> </w:t>
      </w:r>
      <w:r w:rsidR="002E43CD">
        <w:t>sloužit jako indicie nesouladu příjmů poplatníka a jeho majetku a</w:t>
      </w:r>
      <w:r w:rsidR="007B22C6">
        <w:t xml:space="preserve"> které</w:t>
      </w:r>
      <w:r w:rsidR="002E43CD">
        <w:t xml:space="preserve"> mohou být následně využit</w:t>
      </w:r>
      <w:r w:rsidR="00D272D8">
        <w:t>y</w:t>
      </w:r>
      <w:r w:rsidR="002E43CD">
        <w:t xml:space="preserve"> při </w:t>
      </w:r>
      <w:r w:rsidR="008F6369">
        <w:t xml:space="preserve">stanovení </w:t>
      </w:r>
      <w:r w:rsidR="002E43CD">
        <w:t>daně</w:t>
      </w:r>
      <w:r w:rsidR="00FC46AC" w:rsidRPr="005868A1">
        <w:t>.</w:t>
      </w:r>
    </w:p>
    <w:p w:rsidR="00FC46AC" w:rsidRDefault="00FC46AC" w:rsidP="00FC46AC">
      <w:r w:rsidRPr="005868A1">
        <w:t>Poplatník, který na výzvu správce daně odmítne prohlášení o majetku podat nebo v</w:t>
      </w:r>
      <w:r w:rsidR="004A20D3">
        <w:t> </w:t>
      </w:r>
      <w:r w:rsidRPr="005868A1">
        <w:t>něm</w:t>
      </w:r>
      <w:r w:rsidR="004A20D3">
        <w:t xml:space="preserve"> úmyslně </w:t>
      </w:r>
      <w:r w:rsidRPr="005868A1">
        <w:t>uvede nepravdivé nebo hrubě zkreslené údaje, se dopustí trestného činu porušení povinnosti učinit pravdivé prohlášení o majetku (ten je již dnes obsažen v</w:t>
      </w:r>
      <w:r w:rsidR="00D272D8">
        <w:t> trestním zákoníku, viz § 227)</w:t>
      </w:r>
      <w:r w:rsidR="00BD46A7">
        <w:t>, který je návrhem zákona upraven (doplněn o kvalifikovanou skutkovou podstatu s přísnější trestní sazbou)</w:t>
      </w:r>
      <w:r w:rsidR="00D272D8">
        <w:t>.</w:t>
      </w:r>
    </w:p>
    <w:p w:rsidR="00222502" w:rsidRDefault="00222502" w:rsidP="00FC46AC"/>
    <w:p w:rsidR="00222502" w:rsidRPr="00222502" w:rsidRDefault="002E2D3E" w:rsidP="00095E72">
      <w:pPr>
        <w:keepNext/>
        <w:spacing w:after="0"/>
        <w:jc w:val="center"/>
        <w:rPr>
          <w:rFonts w:asciiTheme="minorHAnsi" w:hAnsiTheme="minorHAnsi" w:cstheme="minorHAnsi"/>
          <w:b/>
        </w:rPr>
      </w:pPr>
      <w:r>
        <w:rPr>
          <w:rFonts w:asciiTheme="minorHAnsi" w:hAnsiTheme="minorHAnsi" w:cstheme="minorHAnsi"/>
          <w:b/>
        </w:rPr>
        <w:lastRenderedPageBreak/>
        <w:t xml:space="preserve">Obrázek č. 2 - </w:t>
      </w:r>
      <w:r w:rsidR="00222502" w:rsidRPr="00222502">
        <w:rPr>
          <w:rFonts w:asciiTheme="minorHAnsi" w:hAnsiTheme="minorHAnsi" w:cstheme="minorHAnsi"/>
          <w:b/>
        </w:rPr>
        <w:t>Proces prohlášení o majetku</w:t>
      </w:r>
    </w:p>
    <w:bookmarkStart w:id="1" w:name="_MON_1473599653"/>
    <w:bookmarkEnd w:id="1"/>
    <w:p w:rsidR="00222502" w:rsidRPr="005868A1" w:rsidRDefault="00741A36" w:rsidP="00222502">
      <w:pPr>
        <w:ind w:left="-142"/>
      </w:pPr>
      <w:r>
        <w:object w:dxaOrig="7278" w:dyaOrig="5455">
          <v:shape id="_x0000_i1026" type="#_x0000_t75" style="width:472.9pt;height:354.25pt" o:ole="">
            <v:imagedata r:id="rId11" o:title=""/>
          </v:shape>
          <o:OLEObject Type="Embed" ProgID="PowerPoint.Show.12" ShapeID="_x0000_i1026" DrawAspect="Content" ObjectID="_1477387441" r:id="rId12"/>
        </w:object>
      </w:r>
    </w:p>
    <w:p w:rsidR="00DF1D0F" w:rsidRPr="00C90BF7" w:rsidRDefault="00C94260" w:rsidP="00B85A1E">
      <w:pPr>
        <w:pStyle w:val="text"/>
        <w:numPr>
          <w:ilvl w:val="1"/>
          <w:numId w:val="22"/>
        </w:numPr>
        <w:ind w:left="432"/>
        <w:rPr>
          <w:b/>
        </w:rPr>
      </w:pPr>
      <w:r w:rsidRPr="00C90BF7">
        <w:rPr>
          <w:b/>
        </w:rPr>
        <w:t>Zpřís</w:t>
      </w:r>
      <w:r w:rsidR="00DF1D0F" w:rsidRPr="00C90BF7">
        <w:rPr>
          <w:b/>
        </w:rPr>
        <w:t>nění trestu za</w:t>
      </w:r>
      <w:r w:rsidR="0094339E" w:rsidRPr="00C90BF7">
        <w:rPr>
          <w:i/>
        </w:rPr>
        <w:t xml:space="preserve"> </w:t>
      </w:r>
      <w:r w:rsidR="0094339E" w:rsidRPr="00C90BF7">
        <w:rPr>
          <w:b/>
        </w:rPr>
        <w:t>porušení povinnosti učinit pravdivé prohlášení o majetku</w:t>
      </w:r>
    </w:p>
    <w:p w:rsidR="0067206E" w:rsidRPr="00C90BF7" w:rsidRDefault="002C0E5B" w:rsidP="00DF1D0F">
      <w:r w:rsidRPr="00C90BF7">
        <w:t xml:space="preserve">Jelikož je prohlášení o majetku významným institutem z hlediska funkčnosti systému prokazování původu </w:t>
      </w:r>
      <w:r w:rsidR="003738D7">
        <w:t>majetku</w:t>
      </w:r>
      <w:r w:rsidRPr="00C90BF7">
        <w:t>, je nutné sankcionovat nedodržení povinnosti toto prohlášení učinit. Ačkoliv trestní zákoník obsahuje skutkovou podstatu „</w:t>
      </w:r>
      <w:r w:rsidRPr="00C90BF7">
        <w:rPr>
          <w:i/>
        </w:rPr>
        <w:t>porušení povinnosti učinit pravdivé prohlášení o majetku</w:t>
      </w:r>
      <w:r w:rsidRPr="00C90BF7">
        <w:t>“, kterou by na předmětné prohlášení o majetku bylo možné bez dalšího aplikovat, nejeví se současn</w:t>
      </w:r>
      <w:r w:rsidR="007B22C6">
        <w:t>á</w:t>
      </w:r>
      <w:r w:rsidRPr="00C90BF7">
        <w:t xml:space="preserve"> úprava z pohledu prokazování původu </w:t>
      </w:r>
      <w:r w:rsidR="003738D7">
        <w:t>majetku</w:t>
      </w:r>
      <w:r w:rsidR="003738D7" w:rsidRPr="00C90BF7">
        <w:t xml:space="preserve"> </w:t>
      </w:r>
      <w:r w:rsidRPr="00C90BF7">
        <w:t>jako dostatečná, a to zejména s ohledem na výši možný</w:t>
      </w:r>
      <w:r w:rsidR="007B22C6">
        <w:t>ch</w:t>
      </w:r>
      <w:r w:rsidRPr="00C90BF7">
        <w:t xml:space="preserve"> sankcí, respektive konkrétně </w:t>
      </w:r>
      <w:r w:rsidR="007B22C6">
        <w:t xml:space="preserve">s ohledem </w:t>
      </w:r>
      <w:r w:rsidRPr="00C90BF7">
        <w:t xml:space="preserve">na horní hranici </w:t>
      </w:r>
      <w:r w:rsidR="007B22C6">
        <w:t xml:space="preserve">výše </w:t>
      </w:r>
      <w:r w:rsidRPr="00C90BF7">
        <w:t xml:space="preserve">trestu odnětí svobody. </w:t>
      </w:r>
    </w:p>
    <w:p w:rsidR="002C0E5B" w:rsidRPr="00C90BF7" w:rsidRDefault="002C0E5B" w:rsidP="00DF1D0F">
      <w:r w:rsidRPr="00C90BF7">
        <w:t xml:space="preserve">Současná </w:t>
      </w:r>
      <w:r w:rsidR="007B22C6">
        <w:t xml:space="preserve">podoba </w:t>
      </w:r>
      <w:r w:rsidRPr="00C90BF7">
        <w:t>skutkov</w:t>
      </w:r>
      <w:r w:rsidR="007B22C6">
        <w:t>é</w:t>
      </w:r>
      <w:r w:rsidRPr="00C90BF7">
        <w:t xml:space="preserve"> podstat</w:t>
      </w:r>
      <w:r w:rsidR="007B22C6">
        <w:t>y</w:t>
      </w:r>
      <w:r w:rsidRPr="00C90BF7">
        <w:t xml:space="preserve"> má spíše „exekuční“</w:t>
      </w:r>
      <w:r w:rsidR="0067206E" w:rsidRPr="00C90BF7">
        <w:t xml:space="preserve"> charakter a cílí na osoby postižené exekucí (ať už se jedná o prohlášení o majetku dle občanského soudního řádu, exekučního řadu či dle § 180 daňového řádu), přičemž míra škodlivosti zde odpovídá maximální hrozící výši trestu odnětí svobody. Jelikož v případě prokazování původu </w:t>
      </w:r>
      <w:r w:rsidR="003738D7">
        <w:t>majetku</w:t>
      </w:r>
      <w:r w:rsidR="003738D7" w:rsidRPr="00C90BF7">
        <w:t xml:space="preserve"> </w:t>
      </w:r>
      <w:r w:rsidR="00FB5696">
        <w:t>jde</w:t>
      </w:r>
      <w:r w:rsidR="00FB5696" w:rsidRPr="00C90BF7">
        <w:t xml:space="preserve"> </w:t>
      </w:r>
      <w:r w:rsidR="0067206E" w:rsidRPr="00C90BF7">
        <w:t xml:space="preserve">o jednání, jež lze bezpochyby označit za společensky více škodlivé, </w:t>
      </w:r>
      <w:r w:rsidR="00F70FA8">
        <w:t>je nezbytné</w:t>
      </w:r>
      <w:r w:rsidR="0067206E" w:rsidRPr="00C90BF7">
        <w:t xml:space="preserve"> porušení předmětné povinnosti</w:t>
      </w:r>
      <w:r w:rsidR="00F70FA8" w:rsidRPr="00F70FA8">
        <w:t xml:space="preserve"> </w:t>
      </w:r>
      <w:r w:rsidR="00F70FA8">
        <w:t>po</w:t>
      </w:r>
      <w:r w:rsidR="00F70FA8" w:rsidRPr="00C90BF7">
        <w:t>trestat</w:t>
      </w:r>
      <w:r w:rsidR="00F70FA8" w:rsidRPr="00F70FA8">
        <w:t xml:space="preserve"> </w:t>
      </w:r>
      <w:r w:rsidR="00F70FA8" w:rsidRPr="00C90BF7">
        <w:t>přísněji</w:t>
      </w:r>
      <w:r w:rsidR="0067206E" w:rsidRPr="00C90BF7">
        <w:t xml:space="preserve">. </w:t>
      </w:r>
      <w:r w:rsidR="00FB5696">
        <w:t xml:space="preserve">Mimo již existující možnost uložit trest odnětí svobody (avšak s vyšší sazbou horní hranice tohoto trestu) a trest zákazu činnosti, </w:t>
      </w:r>
      <w:r w:rsidR="005C0DAD">
        <w:t xml:space="preserve">zákon nově </w:t>
      </w:r>
      <w:r w:rsidR="003877F8">
        <w:t xml:space="preserve">explicitně </w:t>
      </w:r>
      <w:r w:rsidR="005C0DAD">
        <w:t xml:space="preserve">upraví </w:t>
      </w:r>
      <w:r w:rsidR="00FB5696">
        <w:t xml:space="preserve">možnost uložit též peněžitý trest. Peněžitý trest lze dle obecných principů trestního zákoníku </w:t>
      </w:r>
      <w:r w:rsidR="000F7FF1">
        <w:t xml:space="preserve">uložit tehdy, jestliže pachatel </w:t>
      </w:r>
      <w:r w:rsidR="000F7FF1" w:rsidRPr="000F7FF1">
        <w:t>pro sebe nebo pro jiného úmyslným trestným činem získal nebo se snažil získat majetkový prospěch</w:t>
      </w:r>
      <w:r w:rsidR="000F7FF1">
        <w:t xml:space="preserve">. </w:t>
      </w:r>
      <w:r w:rsidR="006F5949">
        <w:t>Ke s</w:t>
      </w:r>
      <w:r w:rsidR="000F7FF1">
        <w:t xml:space="preserve">plnění této podmínky v případě </w:t>
      </w:r>
      <w:r w:rsidR="00ED29E2">
        <w:t>prohlášení o</w:t>
      </w:r>
      <w:r w:rsidR="003877F8">
        <w:t> </w:t>
      </w:r>
      <w:r w:rsidR="00ED29E2">
        <w:t>majetku v rámci</w:t>
      </w:r>
      <w:r w:rsidR="000F7FF1">
        <w:t xml:space="preserve"> prok</w:t>
      </w:r>
      <w:r w:rsidR="00ED29E2">
        <w:t>azov</w:t>
      </w:r>
      <w:r w:rsidR="000F7FF1">
        <w:t xml:space="preserve">ání původu </w:t>
      </w:r>
      <w:r w:rsidR="003738D7">
        <w:t xml:space="preserve">majetku </w:t>
      </w:r>
      <w:r w:rsidR="006F5949">
        <w:t>dojde</w:t>
      </w:r>
      <w:r w:rsidR="000F7FF1">
        <w:t xml:space="preserve"> </w:t>
      </w:r>
      <w:r w:rsidR="00281BC8" w:rsidRPr="00C90BF7">
        <w:t xml:space="preserve">tím, že </w:t>
      </w:r>
      <w:r w:rsidR="000F7FF1">
        <w:t>pachatel</w:t>
      </w:r>
      <w:r w:rsidR="00281BC8" w:rsidRPr="00C90BF7">
        <w:t xml:space="preserve"> úmyslně neuvede příjmy, jež by standardně podléhaly zdanění</w:t>
      </w:r>
      <w:r w:rsidR="003877F8">
        <w:t>,</w:t>
      </w:r>
      <w:r w:rsidR="000F7FF1">
        <w:t xml:space="preserve"> nebo úmyslně uvede nepravdivé informace apod.</w:t>
      </w:r>
      <w:r w:rsidR="00281BC8" w:rsidRPr="00C90BF7">
        <w:t xml:space="preserve"> Mimo represivní účinek </w:t>
      </w:r>
      <w:r w:rsidR="007B22C6">
        <w:t>sankce uložené za spáchání tohoto trestného činu</w:t>
      </w:r>
      <w:r w:rsidR="000F7FF1">
        <w:t xml:space="preserve">, </w:t>
      </w:r>
      <w:r w:rsidR="000F7FF1">
        <w:lastRenderedPageBreak/>
        <w:t>kdy dojde k potrestání osoby, která porušila zákonnou povinnost,</w:t>
      </w:r>
      <w:r w:rsidR="00281BC8" w:rsidRPr="00C90BF7">
        <w:t xml:space="preserve"> </w:t>
      </w:r>
      <w:r w:rsidR="000F7FF1">
        <w:t>lze zpřísněním trestů očekávat naplnění funkce</w:t>
      </w:r>
      <w:r w:rsidR="00281BC8" w:rsidRPr="00C90BF7">
        <w:t xml:space="preserve"> generální prevence</w:t>
      </w:r>
      <w:r w:rsidR="000F7FF1">
        <w:t xml:space="preserve">, </w:t>
      </w:r>
      <w:r w:rsidR="007B22C6">
        <w:t>jejímž důsledkem bude odrazení dalších potenciálních pachatelů</w:t>
      </w:r>
      <w:r w:rsidR="000F7FF1">
        <w:t xml:space="preserve"> </w:t>
      </w:r>
      <w:r w:rsidR="007B22C6">
        <w:t>od páchání této trestné činnosti</w:t>
      </w:r>
      <w:r w:rsidR="00281BC8" w:rsidRPr="00C90BF7">
        <w:t>.</w:t>
      </w:r>
    </w:p>
    <w:p w:rsidR="00281BC8" w:rsidRDefault="00281BC8" w:rsidP="00DF1D0F">
      <w:r w:rsidRPr="00C90BF7">
        <w:t>Absence právní úpravy trestu, který by dostatečným způsobem odrazoval potenciální pachatele a případně sankcionoval skutečné pachatele tohoto trestného činu, by se v</w:t>
      </w:r>
      <w:r w:rsidR="00F309F6">
        <w:t> </w:t>
      </w:r>
      <w:r w:rsidR="006A39A4">
        <w:t>konečném</w:t>
      </w:r>
      <w:r w:rsidRPr="00C90BF7">
        <w:t xml:space="preserve"> důsledku projevila negativně v celém konceptu prokazování původu </w:t>
      </w:r>
      <w:r w:rsidR="003738D7">
        <w:t>majetku</w:t>
      </w:r>
      <w:r w:rsidRPr="00C90BF7">
        <w:t>, neboť by český právní řád neumožňoval využití jednoho z institutů, jež mají potenciál zajistit efektivní fungování tohoto systému.</w:t>
      </w:r>
    </w:p>
    <w:p w:rsidR="00603D0C" w:rsidRPr="00603D0C" w:rsidRDefault="00603D0C" w:rsidP="00603D0C">
      <w:pPr>
        <w:pStyle w:val="text"/>
        <w:numPr>
          <w:ilvl w:val="1"/>
          <w:numId w:val="22"/>
        </w:numPr>
        <w:ind w:left="432"/>
        <w:rPr>
          <w:b/>
        </w:rPr>
      </w:pPr>
      <w:r w:rsidRPr="00603D0C">
        <w:rPr>
          <w:b/>
        </w:rPr>
        <w:t>Získávání informací správcem daně a poskytování informací správci daně</w:t>
      </w:r>
    </w:p>
    <w:p w:rsidR="00603D0C" w:rsidRDefault="00603D0C" w:rsidP="00603D0C">
      <w:r>
        <w:t>Veškerá činnost správce daně je z formálního hlediska limitována zákonem a z materiálního hlediska je limitována základním cílem správy daní – tj. správným zjištěním a stanovením daní a zabezpečením jejich úhrady. Základní cíl správy daní představuje pro správce daně pozitivní vymezení jeho působnosti – tj. správce daně smí vykonávat to, co mu umožní zákon pro naplnění základního cíle správy daní, a zároveň negativní vymezení – správce daně nesmí vykonávat to, co je již nad rámec základního cíle správy daní, ačkoliv by mu to z čistě formálního hlediska zákon umožňoval. Správce daně při výkonu své působnosti rovněž musí vycházet ze základních zásad správy daní (viz § 5 až 9 daňového řádu).</w:t>
      </w:r>
    </w:p>
    <w:p w:rsidR="00603D0C" w:rsidRDefault="00603D0C" w:rsidP="00603D0C">
      <w:r>
        <w:t>K tomu, aby správce daně mohl daň správně zjistit a stanovit, musí mimo jiné získat nezbytné informace. Tyto informace mu umožňují povést nezbytné úkony, vést příslušná řízení a</w:t>
      </w:r>
      <w:r w:rsidR="00912011">
        <w:t> </w:t>
      </w:r>
      <w:r>
        <w:t xml:space="preserve">v důsledku daň zjistit a stanovit, eventuálně zabezpečit její úhradu. </w:t>
      </w:r>
    </w:p>
    <w:p w:rsidR="00603D0C" w:rsidRDefault="00603D0C" w:rsidP="00603D0C">
      <w:r>
        <w:t>Obecně platí, že správce daně informace získává zpravidla dvojím způsobem, a to svou vlastní činností, nebo zprostředkovaně od jiného subjektu (osoby zúčastněné na správě daní</w:t>
      </w:r>
      <w:r w:rsidR="0064391D">
        <w:t>, kterou je nutné rozumět i jiný orgán veřejné moci</w:t>
      </w:r>
      <w:r>
        <w:t>).</w:t>
      </w:r>
    </w:p>
    <w:p w:rsidR="00603D0C" w:rsidRDefault="00603D0C" w:rsidP="00603D0C">
      <w:r>
        <w:t>Informace z vlastní činnosti správce daně získává při postupech upravených v § 78 a</w:t>
      </w:r>
      <w:r w:rsidR="0064391D">
        <w:t> </w:t>
      </w:r>
      <w:r>
        <w:t>následujících daňového řádu</w:t>
      </w:r>
      <w:r w:rsidR="0064391D">
        <w:t>.</w:t>
      </w:r>
      <w:r>
        <w:t xml:space="preserve"> Správce daně je nadán pravomocí vést vyhledávací činnost, a</w:t>
      </w:r>
      <w:r w:rsidR="00F309F6">
        <w:t> </w:t>
      </w:r>
      <w:r>
        <w:t xml:space="preserve">to před i v průběhu samotného daňového řízení, přičemž na základě této vyhledávací činnosti </w:t>
      </w:r>
      <w:r w:rsidR="00652C29">
        <w:t xml:space="preserve">může </w:t>
      </w:r>
      <w:r>
        <w:t>mimo jiné zjišťovat nezbytné údaje, shromažďovat informace atd. (viz také §</w:t>
      </w:r>
      <w:r w:rsidR="00912011">
        <w:t> </w:t>
      </w:r>
      <w:r>
        <w:t xml:space="preserve">11 písm. b) daňového řádu). Dále pak daňový řád umožňuje provádět další konkrétní postupy, na jejichž základě si správce daně opatřuje nezbytné informace – jedná se například o provedení místního šetření, o opatření vysvětlení, o provedení daňové kontroly či postupu k odstranění pochybností. Účelem těchto postupů je v obecné rovině právě získání informací nezbytných k naplnění základního cíle správy daní. </w:t>
      </w:r>
    </w:p>
    <w:p w:rsidR="00603D0C" w:rsidRDefault="00603D0C" w:rsidP="00603D0C">
      <w:r>
        <w:t>Daňový řád dále upravuje v § 5</w:t>
      </w:r>
      <w:r w:rsidR="00C41DB7">
        <w:t>7</w:t>
      </w:r>
      <w:r>
        <w:t xml:space="preserve"> a následující</w:t>
      </w:r>
      <w:r w:rsidR="00C41DB7">
        <w:t>ch</w:t>
      </w:r>
      <w:r>
        <w:t xml:space="preserve"> povinnost dotčených subjektů poskytovat informace správci daně dle zde uvedených podmínek (</w:t>
      </w:r>
      <w:r w:rsidRPr="003918EE">
        <w:rPr>
          <w:i/>
        </w:rPr>
        <w:t>a contrario</w:t>
      </w:r>
      <w:r>
        <w:t xml:space="preserve"> se jedná o </w:t>
      </w:r>
      <w:r w:rsidR="00C41DB7">
        <w:t>pravomoc</w:t>
      </w:r>
      <w:r>
        <w:t xml:space="preserve"> správce daně požadovat poskytnutí informací). Jelikož se však v mnoha případech může jednat o citlivá data, je nutné, aby zákon stanovil mantinely a podmínky, které musí být dodrženy k tomu, aby mohly být informace legálním způsobem poskytnuty. </w:t>
      </w:r>
    </w:p>
    <w:p w:rsidR="00603D0C" w:rsidRDefault="00603D0C" w:rsidP="00603D0C">
      <w:r>
        <w:t>Ačkoliv okruh zde uvedených subjektů je značně široký (v obecné rovině se jedná o orgány veřejné moci a osoby, které vedou evidenci osob nebo věcí, které poskytují plnění, jež je předmětem daně, aj.; dále o speciální subjekty, např. zdravotní pojišťovny, banky, provozovatele poštovních služeb apod.), správce daně je v žádostech o poskytování informací materiálně omezen. Předně je nutné, aby správce daně při získávání těchto informací postupoval v souladu se zákonem. Dále je nezbytné, aby požadované informace sloužily k naplnění základního cíle správy daní (tj. ke správnému zjištění a stanovení daní a</w:t>
      </w:r>
      <w:r w:rsidR="00F309F6">
        <w:t> </w:t>
      </w:r>
      <w:r>
        <w:t xml:space="preserve">zabezpečení jejich úhrady) a také aby byly šetřeny základní zásady správy daní (zde lze poukázat zejména na zásadu zdrženlivosti a přiměřenosti, zásadu enumerativnosti </w:t>
      </w:r>
      <w:r>
        <w:lastRenderedPageBreak/>
        <w:t>veřejnoprávních pretenzí, na zásadu rovnosti, hospodárnosti a zásadu legitimního očekávání). Správce daně nemůže požadovat takové informace, které jsou nad rámec naplnění základního cíle správy daní.</w:t>
      </w:r>
      <w:r w:rsidR="00C41DB7">
        <w:t xml:space="preserve"> V souladu s § 58 odst. 2 daňového řádu nemusí jít vždy nutně o aktivitu dotčeného subjektu (zdroje informace), neboť je možné na základě dohodnutých procedur využít i automatizované získávání informací.</w:t>
      </w:r>
    </w:p>
    <w:p w:rsidR="00603D0C" w:rsidRDefault="00603D0C" w:rsidP="00603D0C">
      <w:r>
        <w:t xml:space="preserve">Ačkoliv daňový řád (respektive jiné daňové zákony, včetně zákona o daních z příjmů) neuvádí explicitně konkrétní okruh, druh a rozsah informací, které </w:t>
      </w:r>
      <w:r w:rsidR="00C41DB7">
        <w:t>má</w:t>
      </w:r>
      <w:r>
        <w:t xml:space="preserve"> správce daně </w:t>
      </w:r>
      <w:r w:rsidR="00C41DB7">
        <w:t>pravomoc</w:t>
      </w:r>
      <w:r>
        <w:t xml:space="preserve"> po zde vyjmenovaných subjektech požadovat, není rozsah informací bezbřehý a existují legální mantinely, které jej omezují.</w:t>
      </w:r>
    </w:p>
    <w:p w:rsidR="00603D0C" w:rsidRDefault="00603D0C" w:rsidP="00603D0C">
      <w:r>
        <w:t xml:space="preserve">Vedle daňového řádu se orgány </w:t>
      </w:r>
      <w:r w:rsidR="00D63324">
        <w:t>F</w:t>
      </w:r>
      <w:r>
        <w:t>inanční správy České republiky (správce daně z příjmů) při</w:t>
      </w:r>
      <w:r w:rsidR="00F309F6">
        <w:t> </w:t>
      </w:r>
      <w:r>
        <w:t xml:space="preserve">výkonu své působnosti řídí zákonem </w:t>
      </w:r>
      <w:r w:rsidRPr="00002B42">
        <w:t>č. 456/2011 Sb., o Finanční správě České republiky, ve</w:t>
      </w:r>
      <w:r w:rsidR="00F309F6">
        <w:t> </w:t>
      </w:r>
      <w:r w:rsidRPr="00002B42">
        <w:t>znění pozdějších předpisů</w:t>
      </w:r>
      <w:r>
        <w:t xml:space="preserve"> (dále jen jako „zákon o finanční správě“). Tento zákon v § 18 konkretizuje poskytování údajů orgánům finanční správy v tom smyslu, že </w:t>
      </w:r>
      <w:r w:rsidRPr="00D33903">
        <w:rPr>
          <w:i/>
        </w:rPr>
        <w:t>expressis verbiss</w:t>
      </w:r>
      <w:r>
        <w:t xml:space="preserve"> vyjmenovává konkrétní evidence, z nichž tyto orgány mohou požadovat informace (jedná se zejména o základní registr obyvatel, evidenci občanských průkazů, katastr nemovitostí, </w:t>
      </w:r>
      <w:r w:rsidRPr="00002B42">
        <w:t>nově se též počítá s evidencemi vedenými Rejstříkem trestů</w:t>
      </w:r>
      <w:r>
        <w:t xml:space="preserve"> aj.). Poskytování těchto údajů je bezúplatné a údaje jsou poskytnuty způsobem umožňujícím dálkový a nepřetržitý přístup. I</w:t>
      </w:r>
      <w:r w:rsidR="00F309F6">
        <w:t> </w:t>
      </w:r>
      <w:r>
        <w:t xml:space="preserve">v tomto případě je </w:t>
      </w:r>
      <w:r w:rsidR="00A32414">
        <w:t>nezbytné, aby orgány F</w:t>
      </w:r>
      <w:r>
        <w:t xml:space="preserve">inanční správy </w:t>
      </w:r>
      <w:r w:rsidR="00A32414">
        <w:t>České republiky</w:t>
      </w:r>
      <w:r w:rsidR="00110ADC">
        <w:t xml:space="preserve"> </w:t>
      </w:r>
      <w:r>
        <w:t>– v postavení správce daně z příjmů – získávaly informace v souladu s relevantními zákony (zejména daňový řád, zákon o daních z příjmů, zákon o finanční správě), tak v souladu s naplněním základního cíle správy daní a základními zásadami správy daní.</w:t>
      </w:r>
    </w:p>
    <w:p w:rsidR="00652C29" w:rsidRDefault="00652C29" w:rsidP="00652C29">
      <w:r>
        <w:t>Výše uvedené obecné zásady získávání informací budou aplikovány i pro potřeby prokazování vzniku a původu příjmů a dalších skutečností souvisejících s nárůstem jmění</w:t>
      </w:r>
      <w:r w:rsidR="00F07F14">
        <w:t xml:space="preserve"> poplatníka</w:t>
      </w:r>
      <w:r>
        <w:t xml:space="preserve">. I zde bude správce daně na jedné straně oprávněn získávat nezbytné informace k prokazovaným příjmům, na druhé straně bude limitován zákonem a základním cílem správy daní. Pokud by přesto správce daně tyto limity překročil, </w:t>
      </w:r>
      <w:r w:rsidR="00F07F14">
        <w:t>d</w:t>
      </w:r>
      <w:r>
        <w:t>aňový subjekt by mohl využít prostředky ochrany, které mu jsou zákonem poskytovány.</w:t>
      </w:r>
    </w:p>
    <w:p w:rsidR="00A32414" w:rsidRDefault="00A32414" w:rsidP="00A32414">
      <w:r>
        <w:t xml:space="preserve">Informace získané na základě postupů uvedených výše </w:t>
      </w:r>
      <w:r w:rsidR="0064391D">
        <w:t>lze využít</w:t>
      </w:r>
      <w:r>
        <w:t xml:space="preserve"> v rámci řízení a jiných postupů při </w:t>
      </w:r>
      <w:r w:rsidR="0064391D">
        <w:t>prokazování vzniku a původu příjmů a dalších skutečností souvisejících s nárůstem jmění</w:t>
      </w:r>
      <w:r w:rsidR="00652C29">
        <w:t xml:space="preserve"> poplatníka</w:t>
      </w:r>
      <w:r>
        <w:t xml:space="preserve">. Správce daně bude </w:t>
      </w:r>
      <w:r w:rsidR="00F07F14">
        <w:t xml:space="preserve">tyto informace </w:t>
      </w:r>
      <w:r>
        <w:t>využívat například při úvaze, zda přistoupit k výzvě k prokázání příjmů, při samotné formulaci výzvy nebo postupu vedoucímu k prokázání příjmů. Informace mohou být využity též při stanovení daně podle pomůcek (například jako jedna z pomůcek, která povede k určení výše daně) nebo pro posouzení skutečnosti, zda </w:t>
      </w:r>
      <w:r w:rsidR="00F07F14">
        <w:t xml:space="preserve">správce daně vyzve </w:t>
      </w:r>
      <w:r>
        <w:t>poplatníka k podání prohlášení o majetku.</w:t>
      </w:r>
    </w:p>
    <w:p w:rsidR="003877F8" w:rsidRPr="00C90BF7" w:rsidRDefault="003877F8" w:rsidP="00DF1D0F"/>
    <w:p w:rsidR="00E256FD" w:rsidRDefault="00E256FD" w:rsidP="00E256FD">
      <w:r>
        <w:t>Návrh zákona se nedotkne platného právního stavu v oblasti zákazu diskriminace a je s principem zákazu diskriminace v souladu.</w:t>
      </w:r>
    </w:p>
    <w:p w:rsidR="00B729BB" w:rsidRPr="00420C2D" w:rsidRDefault="00B729BB" w:rsidP="00FC6CFF">
      <w:pPr>
        <w:pStyle w:val="Nadpis2"/>
        <w:keepNext w:val="0"/>
        <w:numPr>
          <w:ilvl w:val="1"/>
          <w:numId w:val="9"/>
        </w:numPr>
        <w:shd w:val="clear" w:color="auto" w:fill="FFFFFF"/>
        <w:tabs>
          <w:tab w:val="clear" w:pos="1134"/>
          <w:tab w:val="num" w:pos="550"/>
        </w:tabs>
        <w:spacing w:before="480"/>
        <w:ind w:left="550" w:hanging="550"/>
        <w:jc w:val="both"/>
      </w:pPr>
      <w:r w:rsidRPr="00420C2D">
        <w:t>Vysvětlení nezbytnosti navrhované právní úpravy</w:t>
      </w:r>
    </w:p>
    <w:p w:rsidR="00C848BB" w:rsidRDefault="00C848BB" w:rsidP="00661987">
      <w:pPr>
        <w:widowControl w:val="0"/>
      </w:pPr>
      <w:r>
        <w:t>V současné době sílí společenská poptávka (projevená</w:t>
      </w:r>
      <w:r w:rsidRPr="00054CB3">
        <w:t xml:space="preserve"> například prostřednictvím petice) po</w:t>
      </w:r>
      <w:r w:rsidR="00B65FE8">
        <w:t> </w:t>
      </w:r>
      <w:r w:rsidRPr="00054CB3">
        <w:t>opatřeních, která by vedla k větší transparentnosti majetkových transakcí</w:t>
      </w:r>
      <w:r w:rsidR="00F21FC2">
        <w:t>,</w:t>
      </w:r>
      <w:r w:rsidRPr="00054CB3">
        <w:t xml:space="preserve"> a tím i podpořila boj proti daňovým únikům a rozkrývání transakcí odehrávajících se v „šedé“ či „černé“ části ekonomiky</w:t>
      </w:r>
      <w:r>
        <w:t>. Navrhované opatření je zasazeno do kontextu boje proti daňovým únikům a bude společně s dalšími připravovanými nástroji (např. elektronická evidence tržeb) poskytovat správci daně další nástroje k dosažení uvedeného cíle.</w:t>
      </w:r>
    </w:p>
    <w:p w:rsidR="00C848BB" w:rsidRDefault="00E256FD" w:rsidP="00E256FD">
      <w:pPr>
        <w:widowControl w:val="0"/>
      </w:pPr>
      <w:r w:rsidRPr="005323D0">
        <w:t>Východiskem</w:t>
      </w:r>
      <w:r w:rsidRPr="00DD40AB">
        <w:t xml:space="preserve"> </w:t>
      </w:r>
      <w:r>
        <w:t xml:space="preserve">navrhované úpravy </w:t>
      </w:r>
      <w:r w:rsidR="002567F9" w:rsidRPr="00DD40AB">
        <w:t>a důvodem</w:t>
      </w:r>
      <w:r w:rsidR="002567F9">
        <w:t xml:space="preserve"> jejího předložení</w:t>
      </w:r>
      <w:r w:rsidR="002567F9" w:rsidRPr="00DD40AB">
        <w:t xml:space="preserve"> </w:t>
      </w:r>
      <w:r>
        <w:t>je závazek V</w:t>
      </w:r>
      <w:r w:rsidRPr="00043C28">
        <w:t>lád</w:t>
      </w:r>
      <w:r>
        <w:t>y</w:t>
      </w:r>
      <w:r w:rsidRPr="00043C28">
        <w:t xml:space="preserve"> </w:t>
      </w:r>
      <w:r>
        <w:t xml:space="preserve">České </w:t>
      </w:r>
      <w:r>
        <w:lastRenderedPageBreak/>
        <w:t>republiky vyplývající</w:t>
      </w:r>
      <w:r w:rsidRPr="00043C28">
        <w:t xml:space="preserve"> </w:t>
      </w:r>
      <w:r>
        <w:t>z </w:t>
      </w:r>
      <w:r w:rsidRPr="00043C28">
        <w:t>programové</w:t>
      </w:r>
      <w:r>
        <w:t>ho</w:t>
      </w:r>
      <w:r w:rsidRPr="00043C28">
        <w:t xml:space="preserve"> prohlášení z února 2014</w:t>
      </w:r>
      <w:r>
        <w:t>, ve kterém se vláda zavázala</w:t>
      </w:r>
      <w:r w:rsidRPr="00043C28">
        <w:t xml:space="preserve"> podniknout nezbytné kroky v oblasti prokazování původu nabytého majetku a v této souvislosti přijmout přiměřená opatření v daňových a trestněprávních předpisech</w:t>
      </w:r>
      <w:r>
        <w:rPr>
          <w:rFonts w:ascii="Arial" w:hAnsi="Arial" w:cs="Arial"/>
          <w:sz w:val="28"/>
          <w:szCs w:val="28"/>
        </w:rPr>
        <w:t>.</w:t>
      </w:r>
      <w:r>
        <w:t xml:space="preserve"> V rámci koaliční smlouvy (bod 2.5), která</w:t>
      </w:r>
      <w:r w:rsidR="00B65FE8">
        <w:t> </w:t>
      </w:r>
      <w:r>
        <w:t>je přílohou programového prohlášení, je uveden</w:t>
      </w:r>
      <w:r w:rsidR="002567F9">
        <w:t>o</w:t>
      </w:r>
      <w:r>
        <w:t xml:space="preserve"> jako jeden z možných nástrojů, </w:t>
      </w:r>
      <w:r w:rsidR="002567F9">
        <w:t xml:space="preserve">kterým </w:t>
      </w:r>
      <w:r>
        <w:t xml:space="preserve">lze dosáhnout zlepšení výběru daní, umožnění </w:t>
      </w:r>
      <w:r w:rsidRPr="005323D0">
        <w:t xml:space="preserve">správci daně </w:t>
      </w:r>
      <w:r>
        <w:t>v </w:t>
      </w:r>
      <w:r w:rsidRPr="005323D0">
        <w:t>odůvodněných a zákonem přesně stano</w:t>
      </w:r>
      <w:r>
        <w:t xml:space="preserve">vených případech </w:t>
      </w:r>
      <w:r w:rsidRPr="005323D0">
        <w:t xml:space="preserve">požadovat, aby fyzická osoba prokázala, že její majetek odpovídá příjmům vykázaným v minulosti touto fyzickou osobou ke zdanění </w:t>
      </w:r>
      <w:r>
        <w:t xml:space="preserve">(„přenesení důkazního břemene“), a to skrz </w:t>
      </w:r>
      <w:r w:rsidRPr="005323D0">
        <w:t>d</w:t>
      </w:r>
      <w:r>
        <w:t>aňový řád nebo zvláštní zákon o </w:t>
      </w:r>
      <w:r w:rsidRPr="005323D0">
        <w:t>prokázání původu majetku.</w:t>
      </w:r>
    </w:p>
    <w:p w:rsidR="00C90BF7" w:rsidRPr="009E0E0C" w:rsidRDefault="00477C1A" w:rsidP="00C90BF7">
      <w:r w:rsidRPr="00F714FF">
        <w:t>Na základě výše uvedeného Ministerstv</w:t>
      </w:r>
      <w:r w:rsidR="00C76357" w:rsidRPr="00F714FF">
        <w:t>o</w:t>
      </w:r>
      <w:r w:rsidRPr="00F714FF">
        <w:t xml:space="preserve"> financí vypracova</w:t>
      </w:r>
      <w:r w:rsidR="00C76357" w:rsidRPr="00F714FF">
        <w:t>lo</w:t>
      </w:r>
      <w:r w:rsidRPr="00F714FF">
        <w:t xml:space="preserve"> ve spolupráci s Ministerstvem </w:t>
      </w:r>
      <w:r w:rsidR="00C76357" w:rsidRPr="00F714FF">
        <w:t xml:space="preserve">spravedlnosti </w:t>
      </w:r>
      <w:r w:rsidR="00C76357" w:rsidRPr="00F714FF">
        <w:rPr>
          <w:i/>
        </w:rPr>
        <w:t>Analýzu prokazování původu majetku a možnosti jeho odčerpávání</w:t>
      </w:r>
      <w:r w:rsidR="00C76357" w:rsidRPr="00F714FF">
        <w:t xml:space="preserve"> (dále též „analýza“) týkající se </w:t>
      </w:r>
      <w:r w:rsidR="00750405" w:rsidRPr="00F714FF">
        <w:t>zadané</w:t>
      </w:r>
      <w:r w:rsidR="00C76357" w:rsidRPr="00F714FF">
        <w:t xml:space="preserve"> problematiky, tedy </w:t>
      </w:r>
      <w:r w:rsidR="00750405" w:rsidRPr="00F714FF">
        <w:t xml:space="preserve">možností odčerpávání majetku s neprokázaným původem. </w:t>
      </w:r>
      <w:r w:rsidR="00C90BF7" w:rsidRPr="009E0E0C">
        <w:t xml:space="preserve">Z analýzy vyplynulo, že daného cíle není možné dosáhnout daňovou cestou, protože daň nelze ztotožnit se sankcí a právní úprava </w:t>
      </w:r>
      <w:r w:rsidR="0051222D">
        <w:t xml:space="preserve">nerespektující tuto skutečnost </w:t>
      </w:r>
      <w:r w:rsidR="00C90BF7" w:rsidRPr="009E0E0C">
        <w:t xml:space="preserve">by mohla být shledána </w:t>
      </w:r>
      <w:r w:rsidR="0051222D">
        <w:t xml:space="preserve">jako </w:t>
      </w:r>
      <w:r w:rsidR="00C90BF7" w:rsidRPr="009E0E0C">
        <w:t>protiústavní. Správce daně není orgánem, kterému by z povahy jeho činnosti mělo příslušet autoritativní rozhodování o legálnosti či nelegálnosti určitého jednání a jediným možným řešením by tak bylo zavedení zvláštního soudního řízení</w:t>
      </w:r>
      <w:r w:rsidR="0051222D">
        <w:t>.</w:t>
      </w:r>
      <w:r w:rsidR="00C90BF7" w:rsidRPr="009E0E0C">
        <w:t xml:space="preserve"> </w:t>
      </w:r>
      <w:r w:rsidR="0051222D">
        <w:t>O</w:t>
      </w:r>
      <w:r w:rsidR="00C90BF7" w:rsidRPr="009E0E0C">
        <w:t>tázka autoritativního posouzení legality v situaci nabytí majetku by měla být v demokratickém právním státě svěřena soudu.</w:t>
      </w:r>
    </w:p>
    <w:p w:rsidR="00477C1A" w:rsidRPr="00F714FF" w:rsidRDefault="0080422F" w:rsidP="00582341">
      <w:r>
        <w:t>Při projednání analýzy vládou však vyšlo najevo, že pozornost by neměla být směřována na</w:t>
      </w:r>
      <w:r w:rsidR="00B65FE8">
        <w:t> </w:t>
      </w:r>
      <w:r>
        <w:t xml:space="preserve">odčerpání nelegálně nabytého majetku, ale na efektivnější zdanění nepřiznaných příjmů. </w:t>
      </w:r>
      <w:r w:rsidR="00D92807">
        <w:t>Na</w:t>
      </w:r>
      <w:r w:rsidR="00B65FE8">
        <w:t> </w:t>
      </w:r>
      <w:r w:rsidR="00D92807">
        <w:t>základě toho byla</w:t>
      </w:r>
      <w:r w:rsidR="00750405" w:rsidRPr="00F714FF">
        <w:t xml:space="preserve"> analýza stažena z projednání vládou </w:t>
      </w:r>
      <w:r w:rsidR="00181AEE" w:rsidRPr="00F714FF">
        <w:t xml:space="preserve">(viz </w:t>
      </w:r>
      <w:r w:rsidR="00181AEE" w:rsidRPr="00F714FF">
        <w:rPr>
          <w:i/>
        </w:rPr>
        <w:t>Záznam z jednání schůze vlády České republiky konané dne 6. srpna 2014</w:t>
      </w:r>
      <w:r w:rsidR="00181AEE" w:rsidRPr="00F714FF">
        <w:t>, č. j. 2265/14)</w:t>
      </w:r>
      <w:r w:rsidR="00181AEE" w:rsidRPr="00F714FF">
        <w:rPr>
          <w:i/>
        </w:rPr>
        <w:t xml:space="preserve"> </w:t>
      </w:r>
      <w:r w:rsidR="00750405" w:rsidRPr="00F714FF">
        <w:t>a řešení zadaného úkolu bylo vládou změněno tak, aby odpovídalo věcnému posunu v</w:t>
      </w:r>
      <w:r w:rsidR="00181AEE" w:rsidRPr="00F714FF">
        <w:t> </w:t>
      </w:r>
      <w:r w:rsidR="00750405" w:rsidRPr="00F714FF">
        <w:t>problematice</w:t>
      </w:r>
      <w:r w:rsidR="00181AEE" w:rsidRPr="00F714FF">
        <w:t xml:space="preserve">, </w:t>
      </w:r>
      <w:r w:rsidR="00DA5E41" w:rsidRPr="00F714FF">
        <w:t>tedy zacílení na efektivní zdanění neprokázaných příjmů</w:t>
      </w:r>
      <w:r w:rsidR="00750405" w:rsidRPr="00F714FF">
        <w:t>.</w:t>
      </w:r>
    </w:p>
    <w:p w:rsidR="00B729BB" w:rsidRPr="00420C2D" w:rsidRDefault="00B729BB" w:rsidP="00095E72">
      <w:pPr>
        <w:pStyle w:val="Nadpis2"/>
        <w:numPr>
          <w:ilvl w:val="1"/>
          <w:numId w:val="9"/>
        </w:numPr>
        <w:shd w:val="clear" w:color="auto" w:fill="FFFFFF"/>
        <w:tabs>
          <w:tab w:val="clear" w:pos="1134"/>
          <w:tab w:val="num" w:pos="550"/>
        </w:tabs>
        <w:spacing w:before="480"/>
        <w:ind w:left="550" w:hanging="550"/>
        <w:jc w:val="both"/>
      </w:pPr>
      <w:r w:rsidRPr="00420C2D">
        <w:t>Zhodnocení souladu navrhované právní úpravy s ústavním pořádkem</w:t>
      </w:r>
    </w:p>
    <w:p w:rsidR="004E2E2A" w:rsidRDefault="002E5601" w:rsidP="004E2E2A">
      <w:pPr>
        <w:pStyle w:val="Normln2"/>
        <w:spacing w:before="120"/>
      </w:pPr>
      <w:bookmarkStart w:id="2" w:name="_Toc383002689"/>
      <w:r w:rsidRPr="00770375">
        <w:t>Základní meze pro uplatňování daňových zákonů stanoví Ús</w:t>
      </w:r>
      <w:r w:rsidR="000D3835">
        <w:t>tava České republiky (dále jen „</w:t>
      </w:r>
      <w:r w:rsidRPr="00770375">
        <w:t>Ústava</w:t>
      </w:r>
      <w:r w:rsidR="000D3835">
        <w:t>“</w:t>
      </w:r>
      <w:r w:rsidRPr="00770375">
        <w:t xml:space="preserve">) a Listina základních práv a svobod </w:t>
      </w:r>
      <w:r w:rsidR="000D3835">
        <w:t>(dále jen „</w:t>
      </w:r>
      <w:r w:rsidRPr="00770375">
        <w:t>Listina</w:t>
      </w:r>
      <w:r w:rsidR="000D3835">
        <w:t>“</w:t>
      </w:r>
      <w:r w:rsidRPr="00770375">
        <w:t>).</w:t>
      </w:r>
      <w:bookmarkStart w:id="3" w:name="_Toc383002690"/>
      <w:bookmarkEnd w:id="2"/>
    </w:p>
    <w:p w:rsidR="002E6B10" w:rsidRPr="002E6B10" w:rsidRDefault="002E6B10" w:rsidP="002E6B10">
      <w:pPr>
        <w:pStyle w:val="Odstavecseseznamem"/>
        <w:numPr>
          <w:ilvl w:val="0"/>
          <w:numId w:val="22"/>
        </w:numPr>
        <w:spacing w:before="120"/>
        <w:rPr>
          <w:rFonts w:ascii="Times New Roman" w:hAnsi="Times New Roman" w:cs="Times New Roman"/>
          <w:noProof/>
          <w:vanish/>
          <w:sz w:val="24"/>
          <w:szCs w:val="20"/>
          <w:lang w:eastAsia="cs-CZ"/>
        </w:rPr>
      </w:pPr>
    </w:p>
    <w:p w:rsidR="002E6B10" w:rsidRPr="002E6B10" w:rsidRDefault="002E6B10" w:rsidP="002E6B10">
      <w:pPr>
        <w:pStyle w:val="Odstavecseseznamem"/>
        <w:numPr>
          <w:ilvl w:val="0"/>
          <w:numId w:val="22"/>
        </w:numPr>
        <w:spacing w:before="120"/>
        <w:rPr>
          <w:rFonts w:ascii="Times New Roman" w:hAnsi="Times New Roman" w:cs="Times New Roman"/>
          <w:noProof/>
          <w:vanish/>
          <w:sz w:val="24"/>
          <w:szCs w:val="20"/>
          <w:lang w:eastAsia="cs-CZ"/>
        </w:rPr>
      </w:pPr>
    </w:p>
    <w:p w:rsidR="00B90227" w:rsidRPr="00B90227" w:rsidRDefault="00B90227" w:rsidP="00B90227">
      <w:pPr>
        <w:pStyle w:val="Normln2"/>
        <w:numPr>
          <w:ilvl w:val="1"/>
          <w:numId w:val="22"/>
        </w:numPr>
        <w:spacing w:before="120"/>
        <w:ind w:left="426"/>
        <w:rPr>
          <w:b/>
        </w:rPr>
      </w:pPr>
      <w:r>
        <w:rPr>
          <w:b/>
        </w:rPr>
        <w:t>Obecně</w:t>
      </w:r>
    </w:p>
    <w:p w:rsidR="002E5601" w:rsidRDefault="002E5601" w:rsidP="002E5601">
      <w:pPr>
        <w:pStyle w:val="Normln2"/>
      </w:pPr>
      <w:r w:rsidRPr="00770375">
        <w:t>Podle čl. 2 odst. 3 Ústavy slouží státní moc všem občanům a lze ji uplatňovat jen v případech, v mezích a způsoby, které stanoví zákon. Dle čl. 2 odst. 2 Listiny lze státní moc uplatňovat jen v případech a v mezích stanovených zákonem, a to způsobem, který zákon stanoví. Povinnosti mohou být ukládány toliko na základě zákona a v jeho mezích a jen při zachování základních práv a svobod (čl. 4 odst. 1 Listiny). K tomu se v daňové oblasti uplatní ještě ustanovení čl. 11 odst. 5 Listiny, které stanovuje, že daně a poplatky lze ukládat jen na základě zákona.</w:t>
      </w:r>
      <w:bookmarkStart w:id="4" w:name="_Toc383002691"/>
      <w:bookmarkEnd w:id="3"/>
      <w:r>
        <w:t xml:space="preserve"> </w:t>
      </w:r>
      <w:r w:rsidRPr="00426DB1">
        <w:t>Kromě toho je nutno dbát i mezí vyplývajících z ústavně zajištěné nedotknutelnosti vlastnictví.</w:t>
      </w:r>
    </w:p>
    <w:p w:rsidR="00863623" w:rsidRDefault="00863623" w:rsidP="002E5601">
      <w:pPr>
        <w:pStyle w:val="Normln2"/>
      </w:pPr>
      <w:r>
        <w:t>Č</w:t>
      </w:r>
      <w:r w:rsidRPr="00863623">
        <w:t xml:space="preserve">l. 11 odst. 5 Listiny </w:t>
      </w:r>
      <w:r>
        <w:t xml:space="preserve">tak </w:t>
      </w:r>
      <w:r w:rsidRPr="00863623">
        <w:t>vylučuje, aby daňovou povinnost stanovovala exekutiva. Naopak v</w:t>
      </w:r>
      <w:r w:rsidR="00B65FE8">
        <w:t> </w:t>
      </w:r>
      <w:r w:rsidRPr="00863623">
        <w:t xml:space="preserve">případě daní vyjadřuje ústavní zmocnění pro Parlament k legitimnímu omezení vlastnického práva skrze jím přijatý zákon. </w:t>
      </w:r>
      <w:r>
        <w:t xml:space="preserve">Do autonomní sféry jednotlivce </w:t>
      </w:r>
      <w:r w:rsidRPr="00863623">
        <w:t>je tak veřejné moci umožněno zasáhnout z důvodu ústavně aprobovaného veřejného zájmu, jehož podstata v případě daní spočívá ve shromažďování finančních prostředků na zabezpečování různých typů veřejných statků. Legitimita zdaňování vyplývá mj. z toho, že výsledky zdaňování jsou používány i</w:t>
      </w:r>
      <w:r w:rsidR="00B65FE8">
        <w:t> </w:t>
      </w:r>
      <w:r w:rsidRPr="00863623">
        <w:t>k</w:t>
      </w:r>
      <w:r w:rsidR="00B65FE8">
        <w:t> </w:t>
      </w:r>
      <w:r w:rsidRPr="00863623">
        <w:t>ochraně a vytváření podmínek pro rozvoj vlastnictví, přičemž tuto ochranu a vytváření podmínek je nutno samozřejmě z něčeho platit</w:t>
      </w:r>
      <w:r>
        <w:t xml:space="preserve"> (srov. Pl. </w:t>
      </w:r>
      <w:r w:rsidRPr="00863623">
        <w:t>ÚS 29/0</w:t>
      </w:r>
      <w:r>
        <w:t>8)</w:t>
      </w:r>
      <w:r w:rsidR="00B04CB2">
        <w:t>.</w:t>
      </w:r>
    </w:p>
    <w:p w:rsidR="002E5601" w:rsidRDefault="002E5601" w:rsidP="002E5601">
      <w:pPr>
        <w:pStyle w:val="Normln2"/>
      </w:pPr>
      <w:r w:rsidRPr="00770375">
        <w:lastRenderedPageBreak/>
        <w:t xml:space="preserve">Přezkumu ústavnosti zákonné úpravy daní, poplatků nebo jiných obdobných peněžitých plnění se Ústavní soud věnoval již mnohokrát, např. v nálezech sp. zn. </w:t>
      </w:r>
      <w:r w:rsidR="00DB54AB" w:rsidRPr="00DB54AB">
        <w:t xml:space="preserve">Pl. ÚS 22/92, </w:t>
      </w:r>
      <w:r w:rsidRPr="00770375">
        <w:t>Pl. ÚS 3/02, Pl. ÚS 12/03 či Pl. ÚS 7/03 (vyhlášeném pod č. 512/2004 Sb.). Z této judikatury vyplývá, že:</w:t>
      </w:r>
      <w:bookmarkStart w:id="5" w:name="_Toc383002692"/>
      <w:bookmarkEnd w:id="4"/>
    </w:p>
    <w:p w:rsidR="002E5601" w:rsidRDefault="002E5601" w:rsidP="00FC6CFF">
      <w:pPr>
        <w:numPr>
          <w:ilvl w:val="0"/>
          <w:numId w:val="19"/>
        </w:numPr>
        <w:spacing w:before="120"/>
      </w:pPr>
      <w:r w:rsidRPr="00693C01">
        <w:t>Z ústavního principu dělby moci (čl. 2 odst. 1 Ústavy), jakož i z ústavního vymezení zákonodárné moci (čl. 15 odst. 1 Ústavy), plyne pro zákonodárce široký prostor pro</w:t>
      </w:r>
      <w:r>
        <w:t> </w:t>
      </w:r>
      <w:r w:rsidRPr="00693C01">
        <w:t>rozhodování o předmětu, míře a rozsahu daní, poplatků a peněž</w:t>
      </w:r>
      <w:r>
        <w:t>itý</w:t>
      </w:r>
      <w:r w:rsidRPr="00693C01">
        <w:t>ch sankcí. Zákonodárce přitom nese za důsledky tohoto rozhodování politickou odpovědnost.</w:t>
      </w:r>
      <w:r w:rsidR="00DB54AB" w:rsidRPr="00DB54AB">
        <w:t xml:space="preserve"> </w:t>
      </w:r>
      <w:r w:rsidR="00DB54AB">
        <w:t>Právo státu ukládat daně, poplatky a jiná obdobná peněžitá plnění není neomezené, zákonodárce je povinen zohlednit kritérium rovnosti, objektivity a racionality.</w:t>
      </w:r>
    </w:p>
    <w:p w:rsidR="00251E2D" w:rsidRDefault="00251E2D" w:rsidP="00FC6CFF">
      <w:pPr>
        <w:numPr>
          <w:ilvl w:val="0"/>
          <w:numId w:val="19"/>
        </w:numPr>
        <w:spacing w:before="120"/>
      </w:pPr>
      <w:r w:rsidRPr="00251E2D">
        <w:t>Jakkoli je daň, poplatek, příp. peněžitá sankce veřejnoprávním povinným peněžitým plněním státu, a tedy zásahem do majetkového substrátu, a tudíž i vlastnického práva povinného subjektu, bez naplnění dalších podmínek nepředstavuje dotčení v ústavním pořádkem</w:t>
      </w:r>
      <w:r>
        <w:t xml:space="preserve"> </w:t>
      </w:r>
      <w:r w:rsidRPr="00251E2D">
        <w:t xml:space="preserve">chráněné vlastnické pozici (čl. 11 Listiny, čl. 1 Dodatkového protokolu </w:t>
      </w:r>
      <w:r>
        <w:t xml:space="preserve">č. 1 </w:t>
      </w:r>
      <w:r w:rsidRPr="00251E2D">
        <w:t>k</w:t>
      </w:r>
      <w:r>
        <w:t> </w:t>
      </w:r>
      <w:r w:rsidRPr="00251E2D">
        <w:t>Úmluvě</w:t>
      </w:r>
      <w:r>
        <w:t xml:space="preserve"> o ochraně lidských práv a základních svobod</w:t>
      </w:r>
      <w:r w:rsidRPr="00251E2D">
        <w:t>).</w:t>
      </w:r>
    </w:p>
    <w:p w:rsidR="002E5601" w:rsidRDefault="002E5601" w:rsidP="00FC6CFF">
      <w:pPr>
        <w:numPr>
          <w:ilvl w:val="0"/>
          <w:numId w:val="19"/>
        </w:numPr>
        <w:spacing w:before="120"/>
      </w:pPr>
      <w:r w:rsidRPr="00693C01">
        <w:t>Ústavní přezkum daní, poplatků a peněžitých sankcí zahrnuje posouzení z pohledu dodržení kautel plynoucích z ústavního principu rovnosti</w:t>
      </w:r>
      <w:r>
        <w:t>,</w:t>
      </w:r>
      <w:r w:rsidRPr="00693C01">
        <w:t xml:space="preserve"> a to jak neakcesorické (čl. 1 Listiny), tj. plynoucí z požadavku vyloučení svévole při odlišování subjektů a práv, tak i akcesorické v rozsahu vymezeném v čl. 3 odst. 1 Listiny. K principu rovnosti </w:t>
      </w:r>
      <w:r>
        <w:t>Ú</w:t>
      </w:r>
      <w:r w:rsidRPr="00693C01">
        <w:t xml:space="preserve">stavní soud ve své konstantní judikatuře uvádí, že se nejedná o kategorii absolutní, nýbrž </w:t>
      </w:r>
      <w:r>
        <w:t>relativní (srov. Pl. ÚS 22/92).</w:t>
      </w:r>
    </w:p>
    <w:p w:rsidR="002E5601" w:rsidRPr="00AD4D71" w:rsidRDefault="002E5601" w:rsidP="00FC6CFF">
      <w:pPr>
        <w:numPr>
          <w:ilvl w:val="0"/>
          <w:numId w:val="19"/>
        </w:numPr>
        <w:spacing w:before="120"/>
      </w:pPr>
      <w:r w:rsidRPr="00693C01">
        <w:t>Je-li předmětem posouzení ústavnost akcesorické nerovnosti vzhledem k vyloučení majetkové diskriminace, případně toliko posouzení skutečnosti</w:t>
      </w:r>
      <w:r>
        <w:t>,</w:t>
      </w:r>
      <w:r w:rsidRPr="00693C01">
        <w:t xml:space="preserve"> nepředstavuje-li daň, poplatek nebo jiná peněžitá sankce případný zásah do práva vlastnického (čl. 11 Listiny), je takový přezkum omezen na případy, v nichž hranice veřejnoprávního povinného peněžitého plnění jednotlivce státu vůči majetkovému substrátu jednotlivce nabývá škrtícího (rdousícího) působení. Jinými slovy ke škrtícímu (rdousícímu) působení dochází, má-li posuzovaná daň, poplatek nebo peněž</w:t>
      </w:r>
      <w:r>
        <w:t>itá</w:t>
      </w:r>
      <w:r w:rsidRPr="00693C01">
        <w:t xml:space="preserve"> sankce </w:t>
      </w:r>
      <w:r w:rsidRPr="00AD4D71">
        <w:t>ve svých důsledcích konfiskační dopady ve vztahu k majetkové podstatě jednotlivce.</w:t>
      </w:r>
      <w:bookmarkEnd w:id="5"/>
    </w:p>
    <w:p w:rsidR="009504A6" w:rsidRDefault="009504A6" w:rsidP="009504A6">
      <w:pPr>
        <w:pStyle w:val="Normln2"/>
        <w:spacing w:before="120"/>
      </w:pPr>
      <w:r>
        <w:t>Návrh zákona je v souladu s práv</w:t>
      </w:r>
      <w:r w:rsidR="009277B0">
        <w:t>em</w:t>
      </w:r>
      <w:r>
        <w:t xml:space="preserve"> na ochranu soukromí a osobních údajů chráněným čl. 7 odst. 1 a čl. 10 Listiny.</w:t>
      </w:r>
    </w:p>
    <w:p w:rsidR="009504A6" w:rsidRDefault="00783980" w:rsidP="00F73400">
      <w:pPr>
        <w:pStyle w:val="Normln2"/>
      </w:pPr>
      <w:r>
        <w:t>Ústavnost</w:t>
      </w:r>
      <w:r w:rsidR="007C1C43">
        <w:t xml:space="preserve"> stanovení daně </w:t>
      </w:r>
      <w:r>
        <w:t>podle</w:t>
      </w:r>
      <w:r w:rsidR="007C1C43">
        <w:t xml:space="preserve"> pomůcek </w:t>
      </w:r>
      <w:r>
        <w:t>posuzoval</w:t>
      </w:r>
      <w:r w:rsidR="005A51DE">
        <w:t xml:space="preserve"> a potvrdil</w:t>
      </w:r>
      <w:r>
        <w:t xml:space="preserve"> </w:t>
      </w:r>
      <w:r w:rsidR="007C1C43">
        <w:t>Ústavní soud</w:t>
      </w:r>
      <w:r w:rsidR="00F73400">
        <w:t xml:space="preserve"> například</w:t>
      </w:r>
      <w:r w:rsidR="007C1C43">
        <w:t xml:space="preserve"> ve</w:t>
      </w:r>
      <w:r w:rsidR="00F309F6">
        <w:t> </w:t>
      </w:r>
      <w:r w:rsidR="007C1C43">
        <w:t>svém rozhodnutí</w:t>
      </w:r>
      <w:r>
        <w:t xml:space="preserve"> </w:t>
      </w:r>
      <w:r w:rsidR="007C1C43">
        <w:t xml:space="preserve"> IV. ÚS 2395/08 ze dne 13. října 2011</w:t>
      </w:r>
      <w:r w:rsidR="00F73400">
        <w:t>, v jehož odůvodnění uvedl</w:t>
      </w:r>
      <w:r>
        <w:t>, „</w:t>
      </w:r>
      <w:r w:rsidR="007C1C43" w:rsidRPr="00783980">
        <w:rPr>
          <w:i/>
        </w:rPr>
        <w:t>že stát smí za použití prostředků mu právním řádem daným prověřovat daň daňovým subjektem přiznanou (a doloženou) - Ústavní soud tedy neshledal tuto činnost daňové správy za</w:t>
      </w:r>
      <w:r w:rsidR="00F309F6">
        <w:rPr>
          <w:i/>
        </w:rPr>
        <w:t> </w:t>
      </w:r>
      <w:r w:rsidR="007C1C43" w:rsidRPr="00783980">
        <w:rPr>
          <w:i/>
        </w:rPr>
        <w:t>protiústavní, resp. porušující základní práva nebo svobody. Nevyvrátí-li daňový subjekt pochybnosti orgánu daňové správy o správnosti jím přiznané daně, může orgán daňové správy stanovit daňovému subjektu základ daně i daň dokonce za pomoci pomůcek. Tento přístup zákonodárce - Ústavním soudem aprobovaný - právě v návaznosti na výše uvedená teoretická východiska, koresponduje s právně-ekonomickým myšlenkovým konceptem, podle něhož je legitimní, aby stát zajišťující jedinci ochranu a podporu v nejširším slova smyslu, využíval některé hodnoty, jimiž by jinak - tedy za podmínky neexistence společnosti organizované ve stát - disponoval buď jednotlivec sám nebo od jednotlivce odlišný subjekt. Stát přitom ponechal jednotlivci poměrně značnou míru volnosti v tom, aby uvážil, jakým</w:t>
      </w:r>
      <w:r w:rsidR="00F309F6">
        <w:rPr>
          <w:i/>
        </w:rPr>
        <w:t> </w:t>
      </w:r>
      <w:r w:rsidR="007C1C43" w:rsidRPr="00783980">
        <w:rPr>
          <w:i/>
        </w:rPr>
        <w:t>způsobem (popřípadě v některých případech zda vůbec) se chce a bude podílet na</w:t>
      </w:r>
      <w:r w:rsidR="00F309F6">
        <w:rPr>
          <w:i/>
        </w:rPr>
        <w:t> </w:t>
      </w:r>
      <w:r w:rsidR="007C1C43" w:rsidRPr="00783980">
        <w:rPr>
          <w:i/>
        </w:rPr>
        <w:t xml:space="preserve">podporování státu a jeho funkcí, jimiž jsou zajišťovány potřeby přesahující možnosti konkrétního individua (jednotlivec se může například rozhodnout, zda si bude životní </w:t>
      </w:r>
      <w:r w:rsidR="007C1C43" w:rsidRPr="00783980">
        <w:rPr>
          <w:i/>
        </w:rPr>
        <w:lastRenderedPageBreak/>
        <w:t>prostředky obstarávat prací v rámci závislé činnosti, zda využije některého s beneficií podpory plynoucí ze sociálních systémů atp.). Na druhou stranu není dost dobře možné, aby</w:t>
      </w:r>
      <w:r w:rsidR="00F309F6">
        <w:rPr>
          <w:i/>
        </w:rPr>
        <w:t> </w:t>
      </w:r>
      <w:r w:rsidR="007C1C43" w:rsidRPr="00783980">
        <w:rPr>
          <w:i/>
        </w:rPr>
        <w:t>šíře úvahy jednotlivce o míře podpory některých funkcí státu byla bezbřehá, stejně tak jako je ale nepřípustné, aby byl jednotlivec k takové podpoře státu nucen v té míře, jež by ho degradovala ze smyslu a důvodu existence státu na pouhý prostředek umožnění existence státu - stát sám o sobě, stát sám pro sebe. Jednotlivec je přitom smyslem a důvodem existence státu jedině tehdy, může-li v maximální možné míře realizovat svá přání a uspokojovat své potřeby, neboť jen za tohoto stavu se stává bytostí skutečně výsostně jedinečnou - stává se</w:t>
      </w:r>
      <w:r w:rsidR="00F309F6">
        <w:rPr>
          <w:i/>
        </w:rPr>
        <w:t> </w:t>
      </w:r>
      <w:r w:rsidR="007C1C43" w:rsidRPr="00783980">
        <w:rPr>
          <w:i/>
        </w:rPr>
        <w:t>člověkem samým.</w:t>
      </w:r>
      <w:r>
        <w:t>“.</w:t>
      </w:r>
    </w:p>
    <w:p w:rsidR="00635FD9" w:rsidRPr="00B90227" w:rsidRDefault="00635FD9" w:rsidP="00635FD9">
      <w:pPr>
        <w:pStyle w:val="Normln2"/>
        <w:numPr>
          <w:ilvl w:val="1"/>
          <w:numId w:val="22"/>
        </w:numPr>
        <w:spacing w:before="120"/>
        <w:ind w:left="426"/>
        <w:rPr>
          <w:b/>
        </w:rPr>
      </w:pPr>
      <w:r w:rsidRPr="00B90227">
        <w:rPr>
          <w:b/>
        </w:rPr>
        <w:t xml:space="preserve">K možnému retroaktivnímu působení </w:t>
      </w:r>
      <w:r>
        <w:rPr>
          <w:b/>
        </w:rPr>
        <w:t>navrhované právní úpravy</w:t>
      </w:r>
      <w:r w:rsidR="00BB2574">
        <w:rPr>
          <w:b/>
        </w:rPr>
        <w:t xml:space="preserve"> a možnému zásahu do legitimního očekávání a právní jistoty</w:t>
      </w:r>
    </w:p>
    <w:p w:rsidR="00580738" w:rsidRPr="00F11574" w:rsidRDefault="00580738" w:rsidP="00F11574">
      <w:pPr>
        <w:pStyle w:val="Normln2"/>
        <w:numPr>
          <w:ilvl w:val="2"/>
          <w:numId w:val="22"/>
        </w:numPr>
        <w:spacing w:before="120"/>
        <w:ind w:left="1134" w:hanging="708"/>
        <w:rPr>
          <w:i/>
        </w:rPr>
      </w:pPr>
      <w:r w:rsidRPr="00F11574">
        <w:rPr>
          <w:i/>
        </w:rPr>
        <w:t>Obecně</w:t>
      </w:r>
    </w:p>
    <w:p w:rsidR="009F7EB9" w:rsidRDefault="009F7EB9" w:rsidP="009F7EB9">
      <w:pPr>
        <w:pStyle w:val="Normln2"/>
        <w:spacing w:before="120"/>
      </w:pPr>
      <w:r w:rsidRPr="00C52D17">
        <w:t>Zákon respektuje obecnou právní úpravu lhůty pro stanovení daně podle § 148 daňového řádu</w:t>
      </w:r>
      <w:r w:rsidR="00F52DFE">
        <w:t xml:space="preserve"> a nezavádí odlišný režim od obecné úpravy podle daňového řádu. Po uplynutí lhůty pro stanovení daně nebude možné daň </w:t>
      </w:r>
      <w:r w:rsidR="008F6369">
        <w:t xml:space="preserve">stanovit </w:t>
      </w:r>
      <w:r w:rsidR="00F52DFE">
        <w:t xml:space="preserve">ani při zjištění správce daně, že příjem poplatníka nebyl zdaněn. </w:t>
      </w:r>
      <w:r>
        <w:t>Nicméně aby poplatník</w:t>
      </w:r>
      <w:r w:rsidRPr="00C52D17">
        <w:t xml:space="preserve"> unesl důkazní břemeno</w:t>
      </w:r>
      <w:r w:rsidR="00F52DFE">
        <w:t xml:space="preserve"> a prokázal </w:t>
      </w:r>
      <w:r w:rsidR="003738D7">
        <w:t xml:space="preserve">vznik a </w:t>
      </w:r>
      <w:r w:rsidR="00F52DFE">
        <w:t>původ svých příjmů</w:t>
      </w:r>
      <w:r w:rsidR="00FE61A6">
        <w:t xml:space="preserve"> (a další požadované skutečnosti)</w:t>
      </w:r>
      <w:r w:rsidRPr="00C52D17">
        <w:t>, bude</w:t>
      </w:r>
      <w:r>
        <w:t xml:space="preserve"> v některých případech nezbytné</w:t>
      </w:r>
      <w:r w:rsidRPr="00C52D17">
        <w:t xml:space="preserve">, aby </w:t>
      </w:r>
      <w:r w:rsidR="007C5690">
        <w:t>doložil</w:t>
      </w:r>
      <w:r w:rsidRPr="00C52D17">
        <w:t xml:space="preserve"> i</w:t>
      </w:r>
      <w:r w:rsidR="00F309F6">
        <w:t> </w:t>
      </w:r>
      <w:r w:rsidRPr="00C52D17">
        <w:t>příjmy, které nabyl př</w:t>
      </w:r>
      <w:r>
        <w:t>ed uplynutím prekluzivní lhůty (z</w:t>
      </w:r>
      <w:r w:rsidRPr="00C52D17">
        <w:t>ákon</w:t>
      </w:r>
      <w:r>
        <w:t xml:space="preserve"> mu tuto povinnost výslovně ukládá). </w:t>
      </w:r>
      <w:r w:rsidR="00F52DFE">
        <w:t xml:space="preserve">Takto získané údaje však může správce daně využít pouze pro </w:t>
      </w:r>
      <w:r w:rsidR="008F6369">
        <w:t xml:space="preserve">stanovení </w:t>
      </w:r>
      <w:r w:rsidR="00F52DFE">
        <w:t>daně za</w:t>
      </w:r>
      <w:r w:rsidR="00F309F6">
        <w:t> </w:t>
      </w:r>
      <w:r w:rsidR="00F52DFE">
        <w:t xml:space="preserve">dosud neprekludovaná období. Povinnost </w:t>
      </w:r>
      <w:r w:rsidR="00D22F95">
        <w:t xml:space="preserve">poplatníka prokázat </w:t>
      </w:r>
      <w:r w:rsidR="003738D7">
        <w:t xml:space="preserve">vznik a </w:t>
      </w:r>
      <w:r w:rsidR="00D22F95">
        <w:t>původ příjmů</w:t>
      </w:r>
      <w:r w:rsidR="00FE61A6">
        <w:t xml:space="preserve"> a další požadované skutečnosti</w:t>
      </w:r>
      <w:r w:rsidR="00D22F95">
        <w:t xml:space="preserve"> za prekludovaná období </w:t>
      </w:r>
      <w:r w:rsidR="00E01650">
        <w:t xml:space="preserve">tvoří v rámci koncepce prokazování </w:t>
      </w:r>
      <w:r w:rsidR="003738D7">
        <w:t xml:space="preserve">příjmů </w:t>
      </w:r>
      <w:r w:rsidR="00D22F95">
        <w:t xml:space="preserve">nezbytný nástroj, jelikož bez něj by se poplatník mohl odkazem na nabytí příjmů v prekludovaných obdobích vyhnout povinnosti </w:t>
      </w:r>
      <w:r w:rsidR="003738D7">
        <w:t>příjmy</w:t>
      </w:r>
      <w:r w:rsidR="00D22F95">
        <w:t xml:space="preserve"> prokázat</w:t>
      </w:r>
      <w:r w:rsidR="00E01650">
        <w:t xml:space="preserve"> a tím se opětovně vyhnout daňové povinnosti</w:t>
      </w:r>
      <w:r w:rsidR="00D22F95">
        <w:t xml:space="preserve">. </w:t>
      </w:r>
      <w:r w:rsidR="000A177E">
        <w:t>Zatížení poplatníka touto</w:t>
      </w:r>
      <w:r w:rsidR="00E01650">
        <w:t xml:space="preserve"> povinností zcela vyváží zájem na jejím uložení</w:t>
      </w:r>
      <w:r w:rsidR="00622824">
        <w:t>.</w:t>
      </w:r>
      <w:r w:rsidR="00BB2574">
        <w:t xml:space="preserve"> Správce daně navíc nemůže bez dalšího požadovat prokázání skutečností, u nichž je zjevné, že nastaly v již prekludovaném období. K tomuto kroku by přikročil pouze tehdy, pokud by sám poplatník</w:t>
      </w:r>
      <w:r w:rsidR="005207BE">
        <w:t xml:space="preserve"> argumentoval, že se jedná o skutečnosti mající původ právě v tomto časovém období.</w:t>
      </w:r>
      <w:r w:rsidR="00622824">
        <w:t xml:space="preserve"> S přihlédnutím k tomu, že </w:t>
      </w:r>
      <w:r w:rsidR="00E01650">
        <w:t>údaje zj</w:t>
      </w:r>
      <w:r w:rsidR="00622824">
        <w:t>ištěné při jejím splnění není možné využít pro</w:t>
      </w:r>
      <w:r w:rsidR="00F309F6">
        <w:t> </w:t>
      </w:r>
      <w:r w:rsidR="008F6369">
        <w:t xml:space="preserve">stanovení </w:t>
      </w:r>
      <w:r w:rsidR="00622824">
        <w:t>daně za již prekludovaná období</w:t>
      </w:r>
      <w:r w:rsidR="000A177E">
        <w:t>,</w:t>
      </w:r>
      <w:r w:rsidR="00622824">
        <w:t xml:space="preserve"> lze konstatovat, že navržená právní úprava je</w:t>
      </w:r>
      <w:r w:rsidR="00F309F6">
        <w:t> </w:t>
      </w:r>
      <w:r w:rsidR="00622824">
        <w:t>v souladu s ústavním pořádkem.</w:t>
      </w:r>
    </w:p>
    <w:p w:rsidR="00635FD9" w:rsidRDefault="00522B04" w:rsidP="009F7EB9">
      <w:pPr>
        <w:pStyle w:val="Normln2"/>
        <w:spacing w:before="120"/>
      </w:pPr>
      <w:r w:rsidRPr="007911F2">
        <w:t xml:space="preserve">Vzhledem k tomu, že poplatník může být tázán na </w:t>
      </w:r>
      <w:r w:rsidR="003738D7">
        <w:t>příjmy</w:t>
      </w:r>
      <w:r w:rsidRPr="007911F2">
        <w:t xml:space="preserve"> pocházejících z již prekludovaných období (viz § 38y odst. 2 zákona o daních z příjmů), za která nelze stanovit daň, bude v jeho zájmu, aby tuto skutečnost hodnověrně prokázal. V opačném případě se uplatní právní fikce obsažená v § 38za odst. 3 zákona o daních z příjmů, podle níž se na tyto příjmy (jejichž </w:t>
      </w:r>
      <w:r w:rsidR="003738D7">
        <w:t xml:space="preserve">vznik a </w:t>
      </w:r>
      <w:r w:rsidRPr="007911F2">
        <w:t>původ poplatník neprokáže) bude hledět jako na příjmy z období bezprostředně předcházejícího stanovení dan</w:t>
      </w:r>
      <w:r w:rsidRPr="005207BE">
        <w:t>ě</w:t>
      </w:r>
      <w:r w:rsidRPr="00580738">
        <w:t>. V důsledku toho může dojít k dodanění příjmů, které fakticky nastaly v prekludovaných obdobích, avšak poplatník tuto skutečnost nedokázal správci daně přesvědčivě prokázat.</w:t>
      </w:r>
      <w:r w:rsidRPr="007911F2">
        <w:t xml:space="preserve"> </w:t>
      </w:r>
    </w:p>
    <w:p w:rsidR="00522B04" w:rsidRDefault="00522B04" w:rsidP="009F7EB9">
      <w:pPr>
        <w:pStyle w:val="Normln2"/>
        <w:spacing w:before="120"/>
      </w:pPr>
      <w:r w:rsidRPr="007911F2">
        <w:t xml:space="preserve">Při posouzení toho, co lze považovat za prokázané, musí správce daně zohlednit efekt běhu času. Mělo by tak být respektováno obecné pravidlo, že čím delší časové období uplynulo, tím obtížnější je určitou věc prokázat. </w:t>
      </w:r>
      <w:r w:rsidR="00B5592B">
        <w:t>V </w:t>
      </w:r>
      <w:r w:rsidR="00B5592B" w:rsidRPr="00B5592B">
        <w:t>praxi</w:t>
      </w:r>
      <w:r w:rsidR="00B5592B">
        <w:t xml:space="preserve"> se pak kritérium úměrnosti času</w:t>
      </w:r>
      <w:r w:rsidR="00B5592B" w:rsidRPr="00B5592B">
        <w:t xml:space="preserve"> může u</w:t>
      </w:r>
      <w:r w:rsidR="00B5592B">
        <w:t> </w:t>
      </w:r>
      <w:r w:rsidR="00B5592B" w:rsidRPr="00B5592B">
        <w:t xml:space="preserve">jednotlivých </w:t>
      </w:r>
      <w:r w:rsidR="00B5592B">
        <w:t>subjektů</w:t>
      </w:r>
      <w:r w:rsidR="00B5592B" w:rsidRPr="00B5592B">
        <w:t xml:space="preserve"> lišit (o delší lhůtě lze uvažovat například u osob veřejně činných). </w:t>
      </w:r>
      <w:r w:rsidRPr="007911F2">
        <w:t>Pakliže při aplikaci tohoto pravidla bude respektována zásada proporcionality</w:t>
      </w:r>
      <w:r w:rsidR="005F237C" w:rsidRPr="007911F2">
        <w:t>, racionality a</w:t>
      </w:r>
      <w:r w:rsidR="00F309F6">
        <w:t> </w:t>
      </w:r>
      <w:r w:rsidR="005F237C" w:rsidRPr="007911F2">
        <w:t>zákazu vybočení ze svěřené pravomoci (zásada enumerativnosti veřejnoprávních pretenzí) neměl by se postup správce daně podle navrženého ustanovení dostat do kolize s ústavním pořádkem.</w:t>
      </w:r>
    </w:p>
    <w:p w:rsidR="00580738" w:rsidRPr="000C05BC" w:rsidRDefault="00580738" w:rsidP="00413DCA">
      <w:pPr>
        <w:pStyle w:val="Normln2"/>
        <w:keepNext/>
        <w:numPr>
          <w:ilvl w:val="2"/>
          <w:numId w:val="22"/>
        </w:numPr>
        <w:spacing w:before="120"/>
        <w:ind w:left="1134" w:hanging="709"/>
        <w:rPr>
          <w:i/>
        </w:rPr>
      </w:pPr>
      <w:r>
        <w:rPr>
          <w:i/>
        </w:rPr>
        <w:lastRenderedPageBreak/>
        <w:t>Právní jistota a legitimní očekávání</w:t>
      </w:r>
    </w:p>
    <w:p w:rsidR="00210286" w:rsidRDefault="00CD1BF4" w:rsidP="0075271D">
      <w:pPr>
        <w:pStyle w:val="Normln2"/>
        <w:spacing w:before="120"/>
      </w:pPr>
      <w:r>
        <w:t>Zárove</w:t>
      </w:r>
      <w:r w:rsidR="00E61A3C">
        <w:t>ň je potřeba odpovědět na otázku, zda navrhovaná právní úprava nezasahuje do právní jistoty daňových subjektů a jejich legitimního očekávání tím, že správci daně umožňuje vyzvat poplatníka k prokázání i těch příjmů, které</w:t>
      </w:r>
      <w:r w:rsidR="00E41402">
        <w:t xml:space="preserve"> poplatník nebyl</w:t>
      </w:r>
      <w:r w:rsidR="00E61A3C">
        <w:t xml:space="preserve"> </w:t>
      </w:r>
      <w:r w:rsidR="00E61A3C" w:rsidRPr="00E320B8">
        <w:rPr>
          <w:i/>
        </w:rPr>
        <w:t>stricto sensu</w:t>
      </w:r>
      <w:r w:rsidR="00E61A3C">
        <w:t xml:space="preserve"> povinen tvrdit</w:t>
      </w:r>
      <w:r w:rsidR="004C7355">
        <w:t xml:space="preserve"> (uvést je v daňovém přiznání)</w:t>
      </w:r>
      <w:r w:rsidR="00E61A3C">
        <w:t xml:space="preserve">, jelikož </w:t>
      </w:r>
      <w:r w:rsidR="00E41402">
        <w:t>jde</w:t>
      </w:r>
      <w:r w:rsidR="00E61A3C">
        <w:t xml:space="preserve"> o příjmy</w:t>
      </w:r>
      <w:r w:rsidR="00E41402">
        <w:t xml:space="preserve"> od daně osvobozené</w:t>
      </w:r>
      <w:r w:rsidR="00E61A3C">
        <w:t xml:space="preserve"> nebo</w:t>
      </w:r>
      <w:r w:rsidR="00E41402">
        <w:t xml:space="preserve"> ty, které</w:t>
      </w:r>
      <w:r w:rsidR="00E61A3C">
        <w:t xml:space="preserve"> z jiného důvodu nevstupují do základu daně.</w:t>
      </w:r>
      <w:r w:rsidR="00F771CF">
        <w:t xml:space="preserve"> Podle § 92 odst. 3 daňového řádu je daňový subjekt povinen prokázat </w:t>
      </w:r>
      <w:r w:rsidR="008F58F1">
        <w:t>všechny skutečnosti, které je po</w:t>
      </w:r>
      <w:r w:rsidR="00F771CF">
        <w:t>vi</w:t>
      </w:r>
      <w:r w:rsidR="008F58F1">
        <w:t>n</w:t>
      </w:r>
      <w:r w:rsidR="00F771CF">
        <w:t>en uvádět v daňových tvrzeních</w:t>
      </w:r>
      <w:r w:rsidR="008F58F1">
        <w:t xml:space="preserve"> a</w:t>
      </w:r>
      <w:r w:rsidR="00900D7A">
        <w:t> </w:t>
      </w:r>
      <w:r w:rsidR="008F58F1">
        <w:t>jiných podáních</w:t>
      </w:r>
      <w:r w:rsidR="005207BE">
        <w:t xml:space="preserve"> (obdobné pravidlo existovalo i v předchozí právní úpravě účinné do</w:t>
      </w:r>
      <w:r w:rsidR="00900D7A">
        <w:t> </w:t>
      </w:r>
      <w:r w:rsidR="005207BE">
        <w:t>31. prosince 2010 – srov. § 31 odst. 9 zákona č. 337/1992 Sb., o správě daní a poplatků)</w:t>
      </w:r>
      <w:r w:rsidR="008F58F1">
        <w:t>. Daňový subjekt má důkazní povinnost a nese důkazní břemeno ohledně všech skutečností, které měl správci daně tvrdit</w:t>
      </w:r>
      <w:r w:rsidR="00825009">
        <w:t xml:space="preserve"> (povinnost a břemeno tvrzení)</w:t>
      </w:r>
      <w:r w:rsidR="008F58F1">
        <w:t xml:space="preserve">, aby došlo ke </w:t>
      </w:r>
      <w:r w:rsidR="00825009">
        <w:t>správnému stanovení daně.</w:t>
      </w:r>
      <w:r w:rsidR="00210286">
        <w:t xml:space="preserve"> </w:t>
      </w:r>
      <w:r w:rsidR="00EF60DA">
        <w:t>Aby daňový subjekt prokázal výši své daňové povinnosti, musí prokázat existenci i těch skutečností, které není povinen v daňovém tvrzení uvádět (typicky těch, které výši jeho daňové povinnosti snižují).</w:t>
      </w:r>
      <w:r w:rsidR="00990AEF">
        <w:t xml:space="preserve"> Povinnost daňového subjektu prokázat všechny skutečnosti, které uvádí v daňovém tvrzení, implicitně zahrnuje též povinnost uvést důvody, které jej vedou k tvrzení těchto skutečností.</w:t>
      </w:r>
      <w:r w:rsidR="006304B3">
        <w:t xml:space="preserve"> </w:t>
      </w:r>
      <w:r w:rsidR="00990AEF">
        <w:t xml:space="preserve">Výklad, který by </w:t>
      </w:r>
      <w:r w:rsidR="00E320B8">
        <w:t>dovozoval</w:t>
      </w:r>
      <w:r w:rsidR="00990AEF">
        <w:t xml:space="preserve"> opak, by</w:t>
      </w:r>
      <w:r w:rsidR="00900D7A">
        <w:t> </w:t>
      </w:r>
      <w:r w:rsidR="00E320B8" w:rsidRPr="00E320B8">
        <w:rPr>
          <w:i/>
        </w:rPr>
        <w:t>ad</w:t>
      </w:r>
      <w:r w:rsidR="00E320B8">
        <w:rPr>
          <w:i/>
        </w:rPr>
        <w:t> </w:t>
      </w:r>
      <w:r w:rsidR="00E320B8" w:rsidRPr="00E320B8">
        <w:rPr>
          <w:i/>
        </w:rPr>
        <w:t>absurdum</w:t>
      </w:r>
      <w:r w:rsidR="00990AEF">
        <w:t xml:space="preserve"> vedl k  situaci, že daňový subjekt by</w:t>
      </w:r>
      <w:r w:rsidR="005A65B0">
        <w:t>,</w:t>
      </w:r>
      <w:r w:rsidR="00E320B8">
        <w:t xml:space="preserve"> s úmyslem vyhnout se důkazní povinnosti</w:t>
      </w:r>
      <w:r w:rsidR="005A65B0">
        <w:t>,</w:t>
      </w:r>
      <w:r w:rsidR="00990AEF">
        <w:t xml:space="preserve"> do daňového tvrzení uváděl pouze úzký okruh údajů, resp. daňové tvrzení </w:t>
      </w:r>
      <w:r w:rsidR="00E320B8">
        <w:t xml:space="preserve">by </w:t>
      </w:r>
      <w:r w:rsidR="00990AEF">
        <w:t>nepodával</w:t>
      </w:r>
      <w:r w:rsidR="00E320B8">
        <w:t xml:space="preserve"> vůbec</w:t>
      </w:r>
      <w:r w:rsidR="00990AEF">
        <w:t>.</w:t>
      </w:r>
      <w:r w:rsidR="0088066E">
        <w:t xml:space="preserve"> </w:t>
      </w:r>
    </w:p>
    <w:p w:rsidR="008F7622" w:rsidRDefault="008F7622" w:rsidP="0075271D">
      <w:pPr>
        <w:pStyle w:val="Normln2"/>
        <w:spacing w:before="120"/>
      </w:pPr>
      <w:r>
        <w:t>Tyto závěry potvrzuje ve své judikatuře i Ústavní soud, který například v rozhodnutí Pl. ÚS 38/95 ze dne 24. dubna 1996 uvedl, že „</w:t>
      </w:r>
      <w:r w:rsidRPr="008F7622">
        <w:rPr>
          <w:i/>
        </w:rPr>
        <w:t>Pokud tedy správce daně podle § 43 citovaného zákona určeným způsobem vyjádří pochybnost o tvrzení daňového subjektu, je daňový subjekt povinen tvrzené skutečnosti dokázat, a to ve lhůtě stanovené správcem daně. Neprokáže-li je, tedy neunese-li důkazní břemeno, tj. nevyvrátí-li pochybnosti správce daně, je správce daně oprávněn stanovit základ daně i daň podle pomůcek,…</w:t>
      </w:r>
      <w:r>
        <w:t>“. Pak pokračuje „</w:t>
      </w:r>
      <w:r w:rsidRPr="005A51DE">
        <w:rPr>
          <w:i/>
        </w:rPr>
        <w:t>Státní úředník tedy nemůže daňový subjekt vyzvat k čemukoliv, jak tvrdí navrhovatel, ale naopak pouze k</w:t>
      </w:r>
      <w:r w:rsidR="00900D7A">
        <w:rPr>
          <w:i/>
        </w:rPr>
        <w:t> </w:t>
      </w:r>
      <w:r w:rsidRPr="005A51DE">
        <w:rPr>
          <w:i/>
        </w:rPr>
        <w:t>prokázání toho, co tvrdí on sám. Teprve, když daňový subjekt svá vlastní tvrzení neprokáže, postupuje správce daně samostatně.</w:t>
      </w:r>
      <w:r>
        <w:t>“.</w:t>
      </w:r>
    </w:p>
    <w:p w:rsidR="008F7622" w:rsidRDefault="008F7622" w:rsidP="0075271D">
      <w:pPr>
        <w:pStyle w:val="Normln2"/>
        <w:spacing w:before="120"/>
      </w:pPr>
      <w:r>
        <w:t>Z výše uvedeného vyplývá, že navržená právní úprava, přestože umožňuje správci daně vyzvat poplatníka k prokázání existence i těch příjmů, které nebyl povinen uvádět v daňovém přiznání, nezasahuje do legitimního očekávání daňových subjektů či do jejich právní jistoty.</w:t>
      </w:r>
    </w:p>
    <w:p w:rsidR="00580738" w:rsidRPr="000C05BC" w:rsidRDefault="00580738" w:rsidP="00F11574">
      <w:pPr>
        <w:pStyle w:val="Normln2"/>
        <w:numPr>
          <w:ilvl w:val="2"/>
          <w:numId w:val="22"/>
        </w:numPr>
        <w:spacing w:before="120"/>
        <w:ind w:left="1134" w:hanging="708"/>
        <w:rPr>
          <w:i/>
        </w:rPr>
      </w:pPr>
      <w:r>
        <w:rPr>
          <w:i/>
        </w:rPr>
        <w:t>Retroaktivita</w:t>
      </w:r>
    </w:p>
    <w:p w:rsidR="00E43068" w:rsidRDefault="00E43068" w:rsidP="0075271D">
      <w:pPr>
        <w:pStyle w:val="Normln2"/>
        <w:spacing w:before="120"/>
      </w:pPr>
      <w:r>
        <w:t>V rámci posouzení skutečnosti, zda navržená právní úprava nepůsobí zpětně</w:t>
      </w:r>
      <w:r w:rsidR="00666881">
        <w:t xml:space="preserve"> a zda je případné zpětné působení nepřípustné</w:t>
      </w:r>
      <w:r>
        <w:t>, lze uvést následující.</w:t>
      </w:r>
    </w:p>
    <w:p w:rsidR="00FB7813" w:rsidRDefault="00C54CC0" w:rsidP="0075271D">
      <w:pPr>
        <w:pStyle w:val="Normln2"/>
        <w:spacing w:before="120"/>
        <w:rPr>
          <w:szCs w:val="24"/>
        </w:rPr>
      </w:pPr>
      <w:r>
        <w:t>P</w:t>
      </w:r>
      <w:r w:rsidRPr="00C54CC0">
        <w:t>rav</w:t>
      </w:r>
      <w:r>
        <w:t>á retroaktivita</w:t>
      </w:r>
      <w:r w:rsidRPr="00C54CC0">
        <w:t xml:space="preserve"> spočívá ve skutečnosti, že se na případy, které </w:t>
      </w:r>
      <w:r>
        <w:t>nastaly</w:t>
      </w:r>
      <w:r w:rsidRPr="00C54CC0">
        <w:t xml:space="preserve"> v minulosti, použije </w:t>
      </w:r>
      <w:r>
        <w:t>pozdějšího zákona, čímž dojde z</w:t>
      </w:r>
      <w:r w:rsidRPr="00C54CC0">
        <w:t xml:space="preserve">pětně </w:t>
      </w:r>
      <w:r>
        <w:t>ke změně právních</w:t>
      </w:r>
      <w:r w:rsidRPr="00C54CC0">
        <w:t xml:space="preserve"> poměr</w:t>
      </w:r>
      <w:r>
        <w:t>ů.</w:t>
      </w:r>
      <w:r w:rsidRPr="00C54CC0">
        <w:t xml:space="preserve"> Teoretická východiska pravé retroaktivity vymezil Ústavní soud ve svém nálezu ze dne 13.</w:t>
      </w:r>
      <w:r>
        <w:t> června</w:t>
      </w:r>
      <w:r w:rsidRPr="00C54CC0">
        <w:t xml:space="preserve"> </w:t>
      </w:r>
      <w:r w:rsidRPr="00C54CC0">
        <w:rPr>
          <w:szCs w:val="24"/>
        </w:rPr>
        <w:t>2002, sp. zn. III. ÚS 611/01</w:t>
      </w:r>
      <w:r>
        <w:rPr>
          <w:szCs w:val="24"/>
        </w:rPr>
        <w:t>, ve kterém</w:t>
      </w:r>
      <w:r w:rsidRPr="00C54CC0">
        <w:rPr>
          <w:szCs w:val="24"/>
        </w:rPr>
        <w:t xml:space="preserve"> k problematice přípustnosti retroaktivity uvedl, že „[</w:t>
      </w:r>
      <w:r w:rsidRPr="00C54CC0">
        <w:rPr>
          <w:i/>
          <w:szCs w:val="24"/>
        </w:rPr>
        <w:t xml:space="preserve">k] základním principům vymezujícím kategorii právního státu, kterým je i Česká republika (srov. čl. 1 Ústavy), patří princip ochrany důvěry občanů v právo a s tím související princip zákazu zpětné účinností (retroaktivity) právních norem. Přestože zákaz retroaktivity právních norem je v čl. 40 odst. 6 Listiny základních práv a svobod výslovně upraven jen pro oblast trestního práva (podle uvedeného ustanovení trestnost činu se posuzuje a trest se ukládá podle zákona účinného v době, kdy byl čin spáchán, a pozdějšího zákona se použije, jestliže je to pro pachatele příznivější), je nutno z čl. 1 Ústavy dovodit působení tohoto zákazu i pro další odvětví práva (srov. nález Ústavního soudu ze dne 4. 2. 1997 publikovaný pod č. 63/1997 Sb.). Akcent kladený na zákaz zpětné účinnosti právních norem jako na jeden ze základních </w:t>
      </w:r>
      <w:r w:rsidRPr="00C54CC0">
        <w:rPr>
          <w:i/>
          <w:szCs w:val="24"/>
        </w:rPr>
        <w:lastRenderedPageBreak/>
        <w:t>prvků právního státu pramení z požadavku právní jistoty. Zákaz retroaktivity spočívá v tom, že podle současné právní normy zásadně není možné posoudit lidské chování, právní skutečnosti či právní vztahy, jež se uskutečnily dříve, než právní norma nabyla účinnosti. Zákaz zpětné účinnosti právních norem vychází z principu, podle něhož každý musí mít možnost vědět, které jednání je zakázané, aby mohl být za porušení zákazu volán k</w:t>
      </w:r>
      <w:r w:rsidR="00CA62A1">
        <w:rPr>
          <w:i/>
          <w:szCs w:val="24"/>
        </w:rPr>
        <w:t> </w:t>
      </w:r>
      <w:r w:rsidRPr="00C54CC0">
        <w:rPr>
          <w:i/>
          <w:szCs w:val="24"/>
        </w:rPr>
        <w:t>odpovědnosti. Tento zákaz souvisí i s funkcí právních norem, které svým adresátům ukládají, jak se mají chovat po jejich účinnosti, a proto zásadně platí jen do budoucna.</w:t>
      </w:r>
      <w:r w:rsidRPr="007C1C43">
        <w:rPr>
          <w:szCs w:val="24"/>
        </w:rPr>
        <w:t>“.</w:t>
      </w:r>
      <w:r>
        <w:rPr>
          <w:szCs w:val="24"/>
        </w:rPr>
        <w:t xml:space="preserve"> </w:t>
      </w:r>
      <w:r w:rsidRPr="00C54CC0">
        <w:rPr>
          <w:szCs w:val="24"/>
        </w:rPr>
        <w:t>Pravá</w:t>
      </w:r>
      <w:r w:rsidR="00CA62A1">
        <w:rPr>
          <w:szCs w:val="24"/>
        </w:rPr>
        <w:t> </w:t>
      </w:r>
      <w:r w:rsidRPr="00C54CC0">
        <w:rPr>
          <w:szCs w:val="24"/>
        </w:rPr>
        <w:t>retroaktivita právních norem je</w:t>
      </w:r>
      <w:r>
        <w:rPr>
          <w:szCs w:val="24"/>
        </w:rPr>
        <w:t xml:space="preserve"> tak</w:t>
      </w:r>
      <w:r w:rsidRPr="00C54CC0">
        <w:rPr>
          <w:szCs w:val="24"/>
        </w:rPr>
        <w:t xml:space="preserve"> v zásadě (až na výjimky) nepřípustná.</w:t>
      </w:r>
    </w:p>
    <w:p w:rsidR="007E5A45" w:rsidRDefault="007E5A45" w:rsidP="0075271D">
      <w:pPr>
        <w:pStyle w:val="Normln2"/>
        <w:spacing w:before="120"/>
        <w:rPr>
          <w:szCs w:val="24"/>
        </w:rPr>
      </w:pPr>
      <w:r>
        <w:rPr>
          <w:szCs w:val="24"/>
        </w:rPr>
        <w:t>Nepřípustnost pravé retroaktivity dovodil Ústavní soud například ve svém nálezu Pl. ÚS 33/01, ve kterém uvedl, že „</w:t>
      </w:r>
      <w:r w:rsidRPr="007E5A45">
        <w:rPr>
          <w:i/>
          <w:szCs w:val="24"/>
        </w:rPr>
        <w:t>Daňový poplatník tak do přijetí novely zákonem č. 210/1997 Sb. mohl důvodně spoléhat na to, že při vytváření právních vztahů bude muset jen u některých z</w:t>
      </w:r>
      <w:r w:rsidR="00CA62A1">
        <w:rPr>
          <w:i/>
          <w:szCs w:val="24"/>
        </w:rPr>
        <w:t> </w:t>
      </w:r>
      <w:r w:rsidRPr="007E5A45">
        <w:rPr>
          <w:i/>
          <w:szCs w:val="24"/>
        </w:rPr>
        <w:t>nich dokládat správci daně cenový rozdíl a nést následky, pokud tak neučiní, zatímco u</w:t>
      </w:r>
      <w:r w:rsidR="00CA62A1">
        <w:rPr>
          <w:i/>
          <w:szCs w:val="24"/>
        </w:rPr>
        <w:t> </w:t>
      </w:r>
      <w:r w:rsidRPr="007E5A45">
        <w:rPr>
          <w:i/>
          <w:szCs w:val="24"/>
        </w:rPr>
        <w:t>jiných právních vztahů ho tato povinnost stíhat nebude. Ústavní soud se proto domnívá, že</w:t>
      </w:r>
      <w:r w:rsidR="00CA62A1">
        <w:rPr>
          <w:i/>
          <w:szCs w:val="24"/>
        </w:rPr>
        <w:t> </w:t>
      </w:r>
      <w:r w:rsidRPr="007E5A45">
        <w:rPr>
          <w:i/>
          <w:szCs w:val="24"/>
        </w:rPr>
        <w:t>daný případ je případem oprávněné důvěry daňového poplatníka v právo, neboť podle právní situace v době, na kterou se retroaktivní norma vztahuje, daňový poplatník nemohl předpokládat závadnost svého chování a nemohl počítat s možností retroaktivní změny.</w:t>
      </w:r>
      <w:r>
        <w:rPr>
          <w:szCs w:val="24"/>
        </w:rPr>
        <w:t>“.</w:t>
      </w:r>
    </w:p>
    <w:p w:rsidR="006752D3" w:rsidRDefault="007E5A45" w:rsidP="0075271D">
      <w:pPr>
        <w:pStyle w:val="Normln2"/>
        <w:spacing w:before="120"/>
        <w:rPr>
          <w:szCs w:val="24"/>
        </w:rPr>
      </w:pPr>
      <w:r>
        <w:rPr>
          <w:szCs w:val="24"/>
        </w:rPr>
        <w:t>V případě navrhované právní úpravy</w:t>
      </w:r>
      <w:r w:rsidR="00102BA8">
        <w:rPr>
          <w:szCs w:val="24"/>
        </w:rPr>
        <w:t xml:space="preserve"> se</w:t>
      </w:r>
      <w:r>
        <w:rPr>
          <w:szCs w:val="24"/>
        </w:rPr>
        <w:t xml:space="preserve"> </w:t>
      </w:r>
      <w:r w:rsidR="00102BA8">
        <w:rPr>
          <w:szCs w:val="24"/>
        </w:rPr>
        <w:t>však nejedná o případ, kdy by právní norma zpětně měnila práva a povinnosti daňového subjektu, jelikož povinnost řádně tvrdit daň a prokáza</w:t>
      </w:r>
      <w:r w:rsidR="003011A9">
        <w:rPr>
          <w:szCs w:val="24"/>
        </w:rPr>
        <w:t>t</w:t>
      </w:r>
      <w:r w:rsidR="00102BA8">
        <w:rPr>
          <w:szCs w:val="24"/>
        </w:rPr>
        <w:t xml:space="preserve"> všechny skutečnosti</w:t>
      </w:r>
      <w:r w:rsidR="003011A9">
        <w:rPr>
          <w:szCs w:val="24"/>
        </w:rPr>
        <w:t xml:space="preserve">, které se mají uvádět </w:t>
      </w:r>
      <w:r w:rsidR="00102BA8">
        <w:rPr>
          <w:szCs w:val="24"/>
        </w:rPr>
        <w:t>v daňovém tvrzení a jiných podáních</w:t>
      </w:r>
      <w:r w:rsidR="003011A9">
        <w:rPr>
          <w:szCs w:val="24"/>
        </w:rPr>
        <w:t>,</w:t>
      </w:r>
      <w:r w:rsidR="00102BA8">
        <w:rPr>
          <w:szCs w:val="24"/>
        </w:rPr>
        <w:t xml:space="preserve"> měl daňový subjekt již před přijetím navrhované právní úpravy.</w:t>
      </w:r>
      <w:r w:rsidR="00C24985">
        <w:rPr>
          <w:szCs w:val="24"/>
        </w:rPr>
        <w:t xml:space="preserve"> </w:t>
      </w:r>
      <w:r w:rsidR="006752D3">
        <w:rPr>
          <w:szCs w:val="24"/>
        </w:rPr>
        <w:t xml:space="preserve">V tomto ohledu dochází pouze k rozšíření procesních nástrojů, kterými správce daně může odhalit porušení těchto povinností. </w:t>
      </w:r>
      <w:r w:rsidR="00C24985">
        <w:rPr>
          <w:szCs w:val="24"/>
        </w:rPr>
        <w:t xml:space="preserve">Obdobně to platí pro povinnost daňového subjektu prokázat vznik a původ příjmů a jiných skutečností potřebných k prokázání příjmů, které nastaly v obdobích, za které již uplynula lhůta pro stanovení daně. </w:t>
      </w:r>
    </w:p>
    <w:p w:rsidR="006752D3" w:rsidRDefault="006752D3" w:rsidP="0075271D">
      <w:pPr>
        <w:pStyle w:val="Normln2"/>
        <w:spacing w:before="120"/>
        <w:rPr>
          <w:szCs w:val="24"/>
        </w:rPr>
      </w:pPr>
      <w:r>
        <w:rPr>
          <w:szCs w:val="24"/>
        </w:rPr>
        <w:t>V případě uplatnění vyšší sankce spojené se stanovením daně z moci úřední (v daném případě podle pomůcek zvláštním způsobem)</w:t>
      </w:r>
      <w:r w:rsidR="00532D6A">
        <w:rPr>
          <w:szCs w:val="24"/>
        </w:rPr>
        <w:t xml:space="preserve"> je princip zákazu pravé retroaktivity respektován díky přechodnému ustanovení, podle něhož se </w:t>
      </w:r>
      <w:r w:rsidR="00532D6A" w:rsidRPr="00532D6A">
        <w:rPr>
          <w:szCs w:val="24"/>
        </w:rPr>
        <w:t>nová (přísnější) sankce</w:t>
      </w:r>
      <w:r w:rsidR="00532D6A">
        <w:rPr>
          <w:szCs w:val="24"/>
        </w:rPr>
        <w:t xml:space="preserve"> v podobě penále</w:t>
      </w:r>
      <w:r w:rsidR="00532D6A" w:rsidRPr="00532D6A">
        <w:rPr>
          <w:szCs w:val="24"/>
        </w:rPr>
        <w:t xml:space="preserve"> bude aplikov</w:t>
      </w:r>
      <w:r w:rsidR="00532D6A">
        <w:rPr>
          <w:szCs w:val="24"/>
        </w:rPr>
        <w:t>at</w:t>
      </w:r>
      <w:r w:rsidR="00532D6A" w:rsidRPr="00532D6A">
        <w:rPr>
          <w:szCs w:val="24"/>
        </w:rPr>
        <w:t xml:space="preserve"> pouze tam, kde ke splnění povinnosti nedojde za účinnosti nové právní úpravy</w:t>
      </w:r>
      <w:r w:rsidR="00532D6A">
        <w:rPr>
          <w:szCs w:val="24"/>
        </w:rPr>
        <w:t>.</w:t>
      </w:r>
    </w:p>
    <w:p w:rsidR="007E5A45" w:rsidRDefault="006752D3" w:rsidP="0075271D">
      <w:pPr>
        <w:pStyle w:val="Normln2"/>
        <w:spacing w:before="120"/>
      </w:pPr>
      <w:r>
        <w:rPr>
          <w:szCs w:val="24"/>
        </w:rPr>
        <w:t>Lze uzavřít, že n</w:t>
      </w:r>
      <w:r w:rsidR="00C24985">
        <w:rPr>
          <w:szCs w:val="24"/>
        </w:rPr>
        <w:t>avržená p</w:t>
      </w:r>
      <w:r w:rsidR="003011A9">
        <w:rPr>
          <w:szCs w:val="24"/>
        </w:rPr>
        <w:t>rávní úprava nereviduje právní vzta</w:t>
      </w:r>
      <w:r w:rsidR="00C24985">
        <w:rPr>
          <w:szCs w:val="24"/>
        </w:rPr>
        <w:t>hy, které nastaly</w:t>
      </w:r>
      <w:r w:rsidR="00CC098E">
        <w:rPr>
          <w:szCs w:val="24"/>
        </w:rPr>
        <w:t xml:space="preserve"> v</w:t>
      </w:r>
      <w:r w:rsidR="008464D1">
        <w:rPr>
          <w:szCs w:val="24"/>
        </w:rPr>
        <w:t> </w:t>
      </w:r>
      <w:r w:rsidR="00CC098E">
        <w:rPr>
          <w:szCs w:val="24"/>
        </w:rPr>
        <w:t>minulosti</w:t>
      </w:r>
      <w:r w:rsidR="003011A9">
        <w:rPr>
          <w:szCs w:val="24"/>
        </w:rPr>
        <w:t>.</w:t>
      </w:r>
    </w:p>
    <w:p w:rsidR="00FB7813" w:rsidRDefault="00CE3047" w:rsidP="0075271D">
      <w:pPr>
        <w:pStyle w:val="Normln2"/>
        <w:spacing w:before="120"/>
      </w:pPr>
      <w:r w:rsidRPr="00532D6A">
        <w:t xml:space="preserve">U </w:t>
      </w:r>
      <w:r w:rsidR="002D068C" w:rsidRPr="00532D6A">
        <w:t>nepravé retroaktivity ne</w:t>
      </w:r>
      <w:r w:rsidRPr="00532D6A">
        <w:t xml:space="preserve">lze hovořit o zpětné účinnosti právní normy </w:t>
      </w:r>
      <w:r w:rsidR="002D068C" w:rsidRPr="00532D6A">
        <w:t>v pravém slova smyslu</w:t>
      </w:r>
      <w:r w:rsidR="0036486E" w:rsidRPr="00532D6A">
        <w:t>,</w:t>
      </w:r>
      <w:r w:rsidR="002D068C" w:rsidRPr="00532D6A">
        <w:t xml:space="preserve"> jelikož právní vztahy a jejich následky vzniklé před účinností nového zákona, se posoudí podle zákona dřívějšího a podle nového zákona se posoudí právní následky právního vztahu, vzniklé po účinnosti nového zákona.</w:t>
      </w:r>
      <w:r w:rsidR="0036486E" w:rsidRPr="00532D6A">
        <w:t xml:space="preserve"> Nepravá retroaktivita je v zásadě, až na výjimky, přípustná. Předpoklady nepřípustnosti nepravé retroaktivity shrnul Ústavní soud ve svém nálezu Pl. ÚS 53/10, ve kterém navázal na své předcházející rozhodnutí Pl. ÚS 21/96. V tomto rozhodnutí Ústavní soud deklaroval, že „</w:t>
      </w:r>
      <w:r w:rsidR="0036486E" w:rsidRPr="00532D6A">
        <w:rPr>
          <w:i/>
        </w:rPr>
        <w:t>Zrušení staré a přijetí nové právní úpravy je nutně spjato se zásahem do principů rovnosti a ochrany důvěry občana v právo. Dochází k tomu v důsledku ochrany jiného veřejného zájmu či základního práva a svobody. Posuzování tohoto konfliktu hlediskem proporcionality s ohledem na intertemporalitu by mělo vést k závěru o druhu legislativního řešení časového střetu právních úprav. Proporcionalitu lze přitom charakterizovat tak, že vyšší stupeň intenzity veřejného zájmu, resp. ochrany základních práv a svobod odůvodňuje vyšší míru zásahu do principů rovnosti a ochrany důvěry občana v právo novou právní regulací. Platí tu zároveň maxima, přikazující v případě omezení základního práva, resp. svobody šetřit jeho podstatu a smysl (čl. 4 odst. 4 Listiny základních práv a svobod).</w:t>
      </w:r>
      <w:r w:rsidR="0036486E" w:rsidRPr="00532D6A">
        <w:t>“.</w:t>
      </w:r>
      <w:r w:rsidR="00C24985" w:rsidRPr="00532D6A">
        <w:t xml:space="preserve"> Vedle toho Ústavní soud dovodil, že nepravá retroaktivita je </w:t>
      </w:r>
      <w:r w:rsidR="00C24985" w:rsidRPr="00532D6A">
        <w:rPr>
          <w:szCs w:val="24"/>
        </w:rPr>
        <w:t>„</w:t>
      </w:r>
      <w:r w:rsidR="00C24985" w:rsidRPr="00532D6A">
        <w:rPr>
          <w:i/>
          <w:szCs w:val="24"/>
        </w:rPr>
        <w:t>v souladu se zásadou ochrany důvěry v právo tehdy, pokud je vhodná a potřebná k dosažení zákonem sledovaného cíle a při celkovém poměřování „zklamané“ důvěry a významu a</w:t>
      </w:r>
      <w:r w:rsidR="00CA62A1">
        <w:rPr>
          <w:i/>
          <w:szCs w:val="24"/>
        </w:rPr>
        <w:t> </w:t>
      </w:r>
      <w:r w:rsidR="00C24985" w:rsidRPr="00532D6A">
        <w:rPr>
          <w:i/>
          <w:szCs w:val="24"/>
        </w:rPr>
        <w:t>naléhavosti důvodů právní změny bude zachována hranice únosnosti</w:t>
      </w:r>
      <w:r w:rsidR="00C24985" w:rsidRPr="00532D6A">
        <w:rPr>
          <w:szCs w:val="24"/>
        </w:rPr>
        <w:t>“.</w:t>
      </w:r>
    </w:p>
    <w:p w:rsidR="00102BA8" w:rsidRDefault="000B2B12" w:rsidP="0075271D">
      <w:pPr>
        <w:pStyle w:val="Normln2"/>
        <w:spacing w:before="120"/>
      </w:pPr>
      <w:r>
        <w:lastRenderedPageBreak/>
        <w:t>Navrhovaná právní úprava je tvořena souborem převážně procesních ustanovení, které dávají správci daně k dispozici nástroje, jimiž lze konfrontovat poplatníka z hlediska plnění jeho daňových povinností. Nedochází tak ke změně daňových povinností hmotněprávního charakteru</w:t>
      </w:r>
      <w:r w:rsidR="000834DA">
        <w:t>, které mají původ v období před účinností navrhovaného zákona. Vznik procesních povinností spojených s novými procesními instrumenty, které bude správce daně moci použít, pak z povahy věci nastane vždy až po účinnosti nové právní úpravy.</w:t>
      </w:r>
      <w:r>
        <w:t xml:space="preserve"> </w:t>
      </w:r>
      <w:r w:rsidR="000834DA">
        <w:t>Z tohoto pohledu by nemělo dojít k nepravé retroaktivitě nové právní úpravy, byť t</w:t>
      </w:r>
      <w:r w:rsidR="00F9361D">
        <w:t>ato</w:t>
      </w:r>
      <w:r w:rsidR="000834DA">
        <w:t xml:space="preserve"> by by</w:t>
      </w:r>
      <w:r w:rsidR="00F9361D">
        <w:t>la</w:t>
      </w:r>
      <w:r w:rsidR="000834DA">
        <w:t xml:space="preserve"> v daném případě ospravedlniteln</w:t>
      </w:r>
      <w:r w:rsidR="00F9361D">
        <w:t>á</w:t>
      </w:r>
      <w:r w:rsidR="000834DA">
        <w:t xml:space="preserve"> </w:t>
      </w:r>
      <w:r w:rsidR="00DF0FF9">
        <w:rPr>
          <w:szCs w:val="24"/>
        </w:rPr>
        <w:t>důležitým veřejným zájmem, který lze spatřovat v řádném výběru daní k úhradě veřejných potřeb a v boji s daňovými úniky.</w:t>
      </w:r>
    </w:p>
    <w:p w:rsidR="00B90227" w:rsidRPr="00B90227" w:rsidRDefault="00B90227" w:rsidP="00F11574">
      <w:pPr>
        <w:pStyle w:val="Normln2"/>
        <w:numPr>
          <w:ilvl w:val="1"/>
          <w:numId w:val="22"/>
        </w:numPr>
        <w:spacing w:before="120"/>
        <w:ind w:left="426"/>
        <w:rPr>
          <w:b/>
        </w:rPr>
      </w:pPr>
      <w:r>
        <w:rPr>
          <w:b/>
        </w:rPr>
        <w:t>Ke změně trestního zákoníku</w:t>
      </w:r>
    </w:p>
    <w:p w:rsidR="0051614A" w:rsidRDefault="0051614A" w:rsidP="005F6C09">
      <w:pPr>
        <w:pStyle w:val="Normln2"/>
        <w:spacing w:before="120"/>
      </w:pPr>
      <w:r w:rsidRPr="0051614A">
        <w:t xml:space="preserve">Z hlediska změny trestního zákoníku, konkrétně skutkové podstaty trestného činu </w:t>
      </w:r>
      <w:r w:rsidRPr="0051614A">
        <w:rPr>
          <w:i/>
        </w:rPr>
        <w:t>porušení povinnosti učinit pravdivé prohlášení o majetku</w:t>
      </w:r>
      <w:r w:rsidRPr="0051614A">
        <w:t>, lze uvés</w:t>
      </w:r>
      <w:r>
        <w:t>t, že tato změna je v souladu s </w:t>
      </w:r>
      <w:r w:rsidRPr="0051614A">
        <w:t xml:space="preserve">ústavním pořádkem. Jelikož právní úprava prokazování původu </w:t>
      </w:r>
      <w:r w:rsidR="003738D7">
        <w:t>majetku</w:t>
      </w:r>
      <w:r w:rsidR="003738D7" w:rsidRPr="0051614A">
        <w:t xml:space="preserve"> </w:t>
      </w:r>
      <w:r w:rsidRPr="0051614A">
        <w:t>cílí především na</w:t>
      </w:r>
      <w:r>
        <w:t> </w:t>
      </w:r>
      <w:r w:rsidRPr="0051614A">
        <w:t xml:space="preserve">prevenci, eventuálně sankcionování, zejména závažnějších protiprávních jednání, očekává se nezanedbatelná míra společenské škodlivosti těchto jednání. Tím dojde k naplnění požadavku na aplikaci trestního práva, které plní roli </w:t>
      </w:r>
      <w:r w:rsidRPr="0051614A">
        <w:rPr>
          <w:i/>
        </w:rPr>
        <w:t>ultima racio</w:t>
      </w:r>
      <w:r w:rsidRPr="0051614A">
        <w:t>. Zároveň tak bude navrhovaná právní úprava v souladu s čl. 39 Listiny základních práv a svobod.</w:t>
      </w:r>
    </w:p>
    <w:p w:rsidR="001F4861" w:rsidRPr="00E320B8" w:rsidRDefault="001F4861" w:rsidP="00F11574">
      <w:pPr>
        <w:pStyle w:val="Normln2"/>
        <w:numPr>
          <w:ilvl w:val="1"/>
          <w:numId w:val="22"/>
        </w:numPr>
        <w:spacing w:before="120"/>
        <w:ind w:left="426"/>
        <w:rPr>
          <w:b/>
        </w:rPr>
      </w:pPr>
      <w:r w:rsidRPr="00E320B8">
        <w:rPr>
          <w:b/>
        </w:rPr>
        <w:t>Závěr</w:t>
      </w:r>
    </w:p>
    <w:p w:rsidR="00F365D3" w:rsidRDefault="00F365D3" w:rsidP="00F365D3">
      <w:pPr>
        <w:pStyle w:val="Normln2"/>
        <w:spacing w:before="120"/>
      </w:pPr>
      <w:r w:rsidRPr="00693C01">
        <w:t>Navrhovaná právní úprava je tak z výše uvedených hledisek plně v souladu s ústavním pořádkem České republiky</w:t>
      </w:r>
      <w:r>
        <w:t>,</w:t>
      </w:r>
      <w:r w:rsidRPr="00693C01">
        <w:t xml:space="preserve"> a to i s judik</w:t>
      </w:r>
      <w:r>
        <w:t>aturou</w:t>
      </w:r>
      <w:r w:rsidRPr="00693C01">
        <w:t xml:space="preserve"> Ústavního soudu, vztahující se k této problematice.</w:t>
      </w:r>
    </w:p>
    <w:p w:rsidR="00B729BB" w:rsidRPr="00420C2D" w:rsidRDefault="00B729BB" w:rsidP="00420C2D">
      <w:pPr>
        <w:pStyle w:val="Nadpis2"/>
        <w:keepNext w:val="0"/>
        <w:numPr>
          <w:ilvl w:val="1"/>
          <w:numId w:val="9"/>
        </w:numPr>
        <w:shd w:val="clear" w:color="auto" w:fill="FFFFFF"/>
        <w:tabs>
          <w:tab w:val="clear" w:pos="1134"/>
          <w:tab w:val="num" w:pos="550"/>
        </w:tabs>
        <w:spacing w:before="480"/>
        <w:ind w:left="550" w:hanging="550"/>
        <w:jc w:val="both"/>
      </w:pPr>
      <w:r w:rsidRPr="00420C2D">
        <w:t>Zhodnocení slučitelnosti navrhované právní úpravy se závazky vyplývajícími pro Českou republiku z jejího členství v Evropské unii</w:t>
      </w:r>
    </w:p>
    <w:p w:rsidR="00F365D3" w:rsidRPr="00770375" w:rsidRDefault="00F365D3" w:rsidP="00F365D3">
      <w:pPr>
        <w:pStyle w:val="Normln2"/>
        <w:spacing w:before="120"/>
      </w:pPr>
      <w:r w:rsidRPr="00770375">
        <w:t>Navrhovaná právní úprava je plně slučitelná s právem Evropské unie a ustanovení navrhované právní úpravy nezakládají rozpor s primárním právem Evropské unie ve světle ustálené judikatury Soudního dvora Evropské unie.</w:t>
      </w:r>
    </w:p>
    <w:p w:rsidR="00F365D3" w:rsidRPr="00770375" w:rsidRDefault="00F365D3" w:rsidP="00F365D3">
      <w:pPr>
        <w:pStyle w:val="Normln2"/>
      </w:pPr>
      <w:r w:rsidRPr="00770375">
        <w:t>S poukazem na sekundární právo Evropské unie lze konstatovat, že také v tomto ohledu předkládaná právní úprava respektuje závazky, které pro Českou republiku v této oblasti z členství v Evropské unii vyplývají.</w:t>
      </w:r>
    </w:p>
    <w:p w:rsidR="00F365D3" w:rsidRPr="00770375" w:rsidRDefault="00F365D3" w:rsidP="00F365D3">
      <w:pPr>
        <w:pStyle w:val="Normln2"/>
      </w:pPr>
      <w:r w:rsidRPr="00770375">
        <w:t>V daňové oblasti je nutné zdůraznit, že třebaže legislativa přímých daní zůstává v pravomoci členských států a obecně nepodléhá na úrovni Evropské unie celkové harmonizaci, čl. 115 Smlouvy o fungování Evropské unie (</w:t>
      </w:r>
      <w:r w:rsidR="000D3835">
        <w:t>dále jen „SFEU“) stanovuje, že „</w:t>
      </w:r>
      <w:r w:rsidRPr="00F11574">
        <w:rPr>
          <w:i/>
        </w:rPr>
        <w:t xml:space="preserve">Rada na návrh Komise [...] přijímá směrnice o sbližování právních a správních předpisů členských států, které mají přímý vliv na vytváření nebo fungování </w:t>
      </w:r>
      <w:r w:rsidR="000D3835" w:rsidRPr="00F11574">
        <w:rPr>
          <w:i/>
        </w:rPr>
        <w:t>vnitřního trhu.</w:t>
      </w:r>
      <w:r w:rsidR="000D3835">
        <w:t>“</w:t>
      </w:r>
      <w:r w:rsidRPr="00770375">
        <w:t xml:space="preserve"> Vzhledem k absenci jiných ustanovení SFEU, která by Evropské unii svěřovala pravomoc v oblasti legislativy zdanění příjmů, je zde pravomoc Rady přijímat směrnice podle čl. 115 SFEU dána pouze v rozsahu, v jakém je nezbytné odstranit překážky při vytváření nebo zajištění fungování vnitřního trhu.</w:t>
      </w:r>
    </w:p>
    <w:p w:rsidR="00F365D3" w:rsidRPr="00523827" w:rsidRDefault="00F365D3" w:rsidP="007911F2">
      <w:pPr>
        <w:pStyle w:val="Normln2"/>
        <w:rPr>
          <w:szCs w:val="24"/>
        </w:rPr>
      </w:pPr>
      <w:r w:rsidRPr="00770375">
        <w:t>Navrhovaná právní úprava je v souladu s relevantním sekundárním právem Evropské unie v oblasti přímých daní</w:t>
      </w:r>
      <w:r w:rsidR="00B05BA4">
        <w:t xml:space="preserve">, a to </w:t>
      </w:r>
      <w:r w:rsidR="002567F9">
        <w:t xml:space="preserve">se </w:t>
      </w:r>
      <w:r w:rsidR="00B05BA4">
        <w:t>S</w:t>
      </w:r>
      <w:r w:rsidRPr="00523827">
        <w:rPr>
          <w:szCs w:val="24"/>
        </w:rPr>
        <w:t>měrnic</w:t>
      </w:r>
      <w:r w:rsidR="00B05BA4">
        <w:rPr>
          <w:szCs w:val="24"/>
        </w:rPr>
        <w:t>í</w:t>
      </w:r>
      <w:r w:rsidRPr="00523827">
        <w:rPr>
          <w:szCs w:val="24"/>
        </w:rPr>
        <w:t xml:space="preserve"> Evropského parlamentu a Rady 2010/41/EU ze dne 7.</w:t>
      </w:r>
      <w:r w:rsidR="00B05BA4">
        <w:rPr>
          <w:szCs w:val="24"/>
        </w:rPr>
        <w:t> </w:t>
      </w:r>
      <w:r w:rsidRPr="00523827">
        <w:rPr>
          <w:szCs w:val="24"/>
        </w:rPr>
        <w:t>července 2010 o uplatňování zásady rovného zacházení pro muže a ženy samostatně výdělečně činné a o zrušení směrnice Rady 86/613/EHS. Tuto směrnici bylo nutné transponovat do právního řádu České republiky do 5. srpna 2012</w:t>
      </w:r>
      <w:r w:rsidR="007911F2">
        <w:rPr>
          <w:szCs w:val="24"/>
        </w:rPr>
        <w:t>.</w:t>
      </w:r>
      <w:r w:rsidRPr="00523827">
        <w:rPr>
          <w:szCs w:val="24"/>
        </w:rPr>
        <w:t xml:space="preserve"> </w:t>
      </w:r>
    </w:p>
    <w:p w:rsidR="00F365D3" w:rsidRPr="00770375" w:rsidRDefault="00F365D3" w:rsidP="00F365D3">
      <w:pPr>
        <w:pStyle w:val="Normln2"/>
      </w:pPr>
      <w:r w:rsidRPr="00770375">
        <w:t xml:space="preserve">Kromě článku 115 SFEU jako základu pro harmonizaci v oblasti přímých daní jsou členské státy povinny při výkonu svých pravomocí respektovat principy dané SFEU (zejména články </w:t>
      </w:r>
      <w:r w:rsidRPr="00770375">
        <w:lastRenderedPageBreak/>
        <w:t>19 SFEU, 45 SFEU, 49 SFEU, 56 SFEU, 63 SFEU) a dbát na to, aby nedocházelo k neodůvodněné diskriminaci na základě státní příslušnosti nebo neodůvodněnému omezování volného pohybu osob, služeb a kapitálu nebo svobody usazování, jak bylo opakovaně potvrzeno Soudním dvorem EU. Navrhovanou právní úpravou budou tyto principy plně respektovány.</w:t>
      </w:r>
    </w:p>
    <w:p w:rsidR="00B729BB" w:rsidRPr="00420C2D" w:rsidRDefault="00B729BB" w:rsidP="00FC6CFF">
      <w:pPr>
        <w:pStyle w:val="Nadpis2"/>
        <w:keepNext w:val="0"/>
        <w:numPr>
          <w:ilvl w:val="1"/>
          <w:numId w:val="9"/>
        </w:numPr>
        <w:shd w:val="clear" w:color="auto" w:fill="FFFFFF"/>
        <w:tabs>
          <w:tab w:val="clear" w:pos="1134"/>
          <w:tab w:val="num" w:pos="550"/>
        </w:tabs>
        <w:spacing w:before="480"/>
        <w:ind w:left="550" w:hanging="550"/>
        <w:jc w:val="both"/>
      </w:pPr>
      <w:r w:rsidRPr="00420C2D">
        <w:t>Zhodnocení souladu navrhované právní úpravy s mezinárodními smlouvami, jimiž je Česká republika vázána</w:t>
      </w:r>
    </w:p>
    <w:p w:rsidR="006B4052" w:rsidRDefault="006B4052" w:rsidP="006B4052">
      <w:pPr>
        <w:pStyle w:val="Normln2"/>
        <w:spacing w:before="120"/>
      </w:pPr>
      <w:r>
        <w:t>Mezinárodní smlouvy, které jsou součástí právního řádu České republiky podle čl. 10 Ústavy (vyhlášené mezinárodní smlouvy, k jejichž ratifikaci dal Parlament souhlas a jimiž je Česká republika vázána), mají z hlediska hierarchie právních předpisů aplikační přednost před zákony a právními předpisy nižší právní síly. Vztah mezinárodních smluv podle čl. 10 Ústavy vůči vnitrostátním právním předpisům je vymezen též v článku 10 Ústavy, kde je princip aplikační přednosti těchto mezinárodních smluv výslovně stanoven. Stanoví-li tedy mezinárodní smlouva podle čl. 10 Ústavy něco jiného než zákon, použije se mezinárodní smlouva. Článek 10 Ústavy tak zaručuje, že při případném nesouladu vnitrostátního práva s mezinárodní smlouvou musí být respektována právě mezinárodní smlouva podle čl. 10 Ústavy.</w:t>
      </w:r>
    </w:p>
    <w:p w:rsidR="006B4052" w:rsidRDefault="006B4052" w:rsidP="006B4052">
      <w:pPr>
        <w:pStyle w:val="Normln2"/>
      </w:pPr>
      <w:r>
        <w:t>V daňové oblasti je vliv mezinárodních smluv nejpatrnější u omezení suverenity při ukládání a vymáhání daňových povinností, kter</w:t>
      </w:r>
      <w:r w:rsidR="0023329D">
        <w:t>é</w:t>
      </w:r>
      <w:r>
        <w:t xml:space="preserve"> je založen</w:t>
      </w:r>
      <w:r w:rsidR="0023329D">
        <w:t>o</w:t>
      </w:r>
      <w:r>
        <w:t xml:space="preserve"> na bázi dvoustranných smluv. Ty jsou uzavírány </w:t>
      </w:r>
      <w:r w:rsidR="002567F9">
        <w:t xml:space="preserve">zejména </w:t>
      </w:r>
      <w:r>
        <w:t>v oblasti daní z příjmů a z</w:t>
      </w:r>
      <w:r w:rsidR="002567F9">
        <w:t> </w:t>
      </w:r>
      <w:r>
        <w:t>majetku</w:t>
      </w:r>
      <w:r w:rsidR="002567F9">
        <w:t xml:space="preserve"> (</w:t>
      </w:r>
      <w:r>
        <w:t>v menším rozsahu též v oblasti daně dědické a darovací</w:t>
      </w:r>
      <w:r w:rsidR="002567F9">
        <w:t>, které však jako samostatné daně od 1. ledna 2014 v našem právním řádu neexistují)</w:t>
      </w:r>
      <w:r>
        <w:t xml:space="preserve">. V kontextu mezinárodního práva jsou pro oblast daní významná především doporučení OECD. Česká republika má v současné době </w:t>
      </w:r>
      <w:r w:rsidR="002567F9">
        <w:t xml:space="preserve">uzavřeno </w:t>
      </w:r>
      <w:r>
        <w:t>více než 80 bilaterálních smluv o zamezení dvojího zdanění v oblasti daní z příjmů a z majetku. Při jejich uzavírání byla využita zejména modelová smlouva OECD (Model Tax Convention on Income and Capital) určená pro smluvní vztahy mezi státy srovnatelné hospodářské úrovně a modelová smlouva OSN (United Nations Model Double Taxation Convention between Developed and Developing Countries) obsahující prvky zdůrazňující ochranu daňových příjmů smluvní strany, která má nesrovnatelně nižší ekonomickou výkonnost. Vzhledem k aplikační přednosti mezinárodních smluv podle čl. 10 Ústavy je nutné vždy přednostně použít smlouvu o zamezení dvojího zdanění před vnitrostátní úpravou, a to v těch případech, na které se tyto mezinárodní smlouvy vztahují. Navrhovaná právní úprava je s tímto principem plně v souladu.</w:t>
      </w:r>
    </w:p>
    <w:p w:rsidR="006B4052" w:rsidRDefault="006B4052" w:rsidP="006B4052">
      <w:pPr>
        <w:pStyle w:val="Normln2"/>
      </w:pPr>
      <w:r>
        <w:t>Vedle smluv o zamezení dvojího zdanění existují také další mezinárodní ujednání, která mají vliv na daňový režim některých příjmů. Jde např. o Vídeňskou úmluvu o diplomatických stycích (č. 157/1964 Sb.) či o Vídeňskou úmluvu o konzulárních stycích (č. 32/1969 Sb.).</w:t>
      </w:r>
    </w:p>
    <w:p w:rsidR="006B4052" w:rsidRDefault="006B4052" w:rsidP="006B4052">
      <w:pPr>
        <w:pStyle w:val="Normln2"/>
      </w:pPr>
      <w:r>
        <w:t xml:space="preserve">Pokud jde o aplikaci Úmluvy o ochraně lidských práv a základních svobod (viz sdělení č. 209/1992 Sb.) v oblasti daní a jiných povinných peněžitých plnění plynoucích do veřejných rozpočtů, lze poukázat na rozsudek Evropského soudu pro lidská práva ve věci Ferrazzini proti Itálii. Podle tohoto rozhodnutí daňové záležitosti dosud tvoří součást tvrdého jádra výsad veřejné moci, přičemž veřejný charakter vztahu mezi daňovým poplatníkem a daňovým úřadem nadále převládá. Z rozhodnutí dále vyplývá, že čl. 1 </w:t>
      </w:r>
      <w:r w:rsidR="007978E0">
        <w:t>P</w:t>
      </w:r>
      <w:r w:rsidR="007978E0" w:rsidRPr="00925F62">
        <w:t>rotokolu</w:t>
      </w:r>
      <w:r w:rsidR="007978E0">
        <w:t xml:space="preserve"> č. 1</w:t>
      </w:r>
      <w:r>
        <w:t>, týkající se ochrany majetku, vyhrazuje státům právo přijímat zákony, které považují za nezbytné, aby upravily užívání majetku v souladu s obecným zájmem a zajistily placení daní. Z uvedeného vyplývá, že dopad Úmluvy o ochraně lidských práv a základních svobod v daňové oblasti je velmi omezen, resp. prakticky vyloučen.</w:t>
      </w:r>
    </w:p>
    <w:p w:rsidR="0075271D" w:rsidRDefault="0075271D" w:rsidP="00157241">
      <w:r>
        <w:lastRenderedPageBreak/>
        <w:t>Ustálená judikatura Evropského soudu pro lidská práva vykládá pojem „majetek“ obsažený v čl.</w:t>
      </w:r>
      <w:r w:rsidR="00157241">
        <w:t xml:space="preserve"> 1 Protoko</w:t>
      </w:r>
      <w:r>
        <w:t>lu č. 1 extenzivně jako jakoukoliv majetkovou hodn</w:t>
      </w:r>
      <w:r w:rsidR="007911F2">
        <w:t>o</w:t>
      </w:r>
      <w:r>
        <w:t>tu patřící určité osobě, případně nárok určité osoby na získání majetku (včetně legitimního očekávání na získání určitého majetku). Dle rozsudku ve věci Broniowski proti Polsku má pojem „majetek“ autonomní rozsah, který není omezen na vlastnictví hmotného jmění a nezáv</w:t>
      </w:r>
      <w:r w:rsidR="007911F2">
        <w:t>i</w:t>
      </w:r>
      <w:r>
        <w:t>sí na formální kvalifikac</w:t>
      </w:r>
      <w:r w:rsidR="007911F2">
        <w:t>i</w:t>
      </w:r>
      <w:r>
        <w:t xml:space="preserve"> vnitrostátního práva, tj. za majetková práva (majetek pro účely čl. 1 Protokolu č. 1) lze považovat další práva a zájmy tvořící aktiva, např. pohledávky. Dále lze poukázat </w:t>
      </w:r>
      <w:r w:rsidRPr="000C0BA2">
        <w:t>na</w:t>
      </w:r>
      <w:r>
        <w:t> rozsudek ve věci Kopecký proti Slovensku</w:t>
      </w:r>
      <w:r w:rsidR="00157241">
        <w:t>, z</w:t>
      </w:r>
      <w:r>
        <w:t xml:space="preserve"> kterého vyplývá, že pod ochran</w:t>
      </w:r>
      <w:r w:rsidR="00FC6146">
        <w:t>o</w:t>
      </w:r>
      <w:r>
        <w:t>u čl. 1 Protok</w:t>
      </w:r>
      <w:r w:rsidR="00B64314">
        <w:t>o</w:t>
      </w:r>
      <w:r>
        <w:t xml:space="preserve">lu č. 1 je nejen tzv. „existující“ majetek, ale též majetkové hodnoty, o nichž stěžovatel </w:t>
      </w:r>
      <w:r w:rsidRPr="00F045F4">
        <w:t>může tvrdit, že má</w:t>
      </w:r>
      <w:r w:rsidRPr="00885120">
        <w:t xml:space="preserve"> přin</w:t>
      </w:r>
      <w:r w:rsidR="00B64314">
        <w:t>e</w:t>
      </w:r>
      <w:r w:rsidRPr="00885120">
        <w:t>jmenším legitimní naději vykonávat vlastnické právo</w:t>
      </w:r>
      <w:r w:rsidR="000A6CF4">
        <w:t>.</w:t>
      </w:r>
      <w:r w:rsidR="00B64314">
        <w:t xml:space="preserve"> Za majetkové právo tak lze považovat majetkový zájem osoby mající povahu nároku, pokud se naděje získat majetek </w:t>
      </w:r>
      <w:r w:rsidR="00B64314" w:rsidRPr="00752068">
        <w:t>zakládá na ustanoveních právního předpisu nebo na ustálené judikatuře ve</w:t>
      </w:r>
      <w:r w:rsidR="00B65FE8">
        <w:t> </w:t>
      </w:r>
      <w:r w:rsidR="00B64314" w:rsidRPr="00752068">
        <w:t>vnitrostátním právním řádu.</w:t>
      </w:r>
      <w:r w:rsidR="00B64314">
        <w:t xml:space="preserve"> </w:t>
      </w:r>
      <w:r w:rsidR="00885120">
        <w:t>Za majetek</w:t>
      </w:r>
      <w:r w:rsidR="00F045F4">
        <w:t xml:space="preserve"> však nelze považovat naději, že zaniklé vlastnické právo může být oživeno, ani podmíněnou pohledávku, kter</w:t>
      </w:r>
      <w:r w:rsidR="00FC6146">
        <w:t>á</w:t>
      </w:r>
      <w:r w:rsidR="00F045F4">
        <w:t xml:space="preserve"> zanikl</w:t>
      </w:r>
      <w:r w:rsidR="00FC6146">
        <w:t>a</w:t>
      </w:r>
      <w:r w:rsidR="00F045F4">
        <w:t xml:space="preserve"> z důvodu nesplnění podmínky (např. rozsudek ve věci Malhous proti České republice). </w:t>
      </w:r>
      <w:r>
        <w:t>Majetkem ve smyslu čl.</w:t>
      </w:r>
      <w:r w:rsidR="000A6CF4">
        <w:t xml:space="preserve"> </w:t>
      </w:r>
      <w:r w:rsidR="00B64314">
        <w:t>1 Protoko</w:t>
      </w:r>
      <w:r>
        <w:t xml:space="preserve">lu č. 1 jsou </w:t>
      </w:r>
      <w:r w:rsidR="00FC6146">
        <w:t>j</w:t>
      </w:r>
      <w:r>
        <w:t>ak absolutní majetková pr</w:t>
      </w:r>
      <w:r w:rsidR="00157241">
        <w:t>áva (vlastnické, právo držby, vě</w:t>
      </w:r>
      <w:r>
        <w:t xml:space="preserve">cná práva k věci </w:t>
      </w:r>
      <w:r w:rsidR="00157241">
        <w:t>cizí, dědické právo), tak relativn</w:t>
      </w:r>
      <w:r>
        <w:t>í majetková práva (soukromoprávní pohledávka či</w:t>
      </w:r>
      <w:r w:rsidR="00B65FE8">
        <w:t> </w:t>
      </w:r>
      <w:r>
        <w:t>veřejnoprávní nároky na z</w:t>
      </w:r>
      <w:r w:rsidR="007911F2">
        <w:t>í</w:t>
      </w:r>
      <w:r>
        <w:t>sk</w:t>
      </w:r>
      <w:r w:rsidR="007911F2">
        <w:t>á</w:t>
      </w:r>
      <w:r>
        <w:t>ní majetkové hodnoty).</w:t>
      </w:r>
    </w:p>
    <w:p w:rsidR="006B4052" w:rsidRDefault="006B4052" w:rsidP="006B4052">
      <w:pPr>
        <w:pStyle w:val="Normln2"/>
      </w:pPr>
      <w:r>
        <w:t>Navrhovaná právní úprava tak bude zajišťovat plnění všech závazků, které se na upravovanou oblast vztahují a které vyplývají pro Českou republiku z mezinárodních smluv a dalších dokumentů. Lze tedy konstatovat, že navrhovaná právní úprava je plně v souladu s mezinárodními smlouvami, jimiž je Česká republika vázána.</w:t>
      </w:r>
    </w:p>
    <w:p w:rsidR="00B729BB" w:rsidRPr="00DC4913" w:rsidRDefault="00B729BB" w:rsidP="00FC6CFF">
      <w:pPr>
        <w:pStyle w:val="Nadpis2"/>
        <w:keepNext w:val="0"/>
        <w:numPr>
          <w:ilvl w:val="1"/>
          <w:numId w:val="9"/>
        </w:numPr>
        <w:shd w:val="clear" w:color="auto" w:fill="FFFFFF"/>
        <w:tabs>
          <w:tab w:val="clear" w:pos="1134"/>
          <w:tab w:val="num" w:pos="550"/>
        </w:tabs>
        <w:spacing w:before="480"/>
        <w:ind w:left="550" w:hanging="550"/>
        <w:jc w:val="both"/>
      </w:pPr>
      <w:r w:rsidRPr="00DC4913">
        <w:t>Předpokládaný hospodářský a finanční dosah navrhované právní úpravy</w:t>
      </w:r>
    </w:p>
    <w:p w:rsidR="00DC4913" w:rsidRDefault="00DC4913" w:rsidP="00DC4913">
      <w:r w:rsidRPr="00DC4913">
        <w:t>Obecně se v případě navrženého opatření jedná o právní institut, který posiluje procesní práva a povinnosti</w:t>
      </w:r>
      <w:r>
        <w:t xml:space="preserve"> správce daně a umožňuje mu odhalovat i ty skryté příjmy, vůči kterým byl za</w:t>
      </w:r>
      <w:r w:rsidR="00B65FE8">
        <w:t> </w:t>
      </w:r>
      <w:r>
        <w:t>předešlé úpravy v neobhajitelném důkazním postavení. Kvantifikace tohoto procesního posílení je tedy ovl</w:t>
      </w:r>
      <w:r w:rsidR="004D3A82">
        <w:t>ivněna především kritérii, která</w:t>
      </w:r>
      <w:r>
        <w:t xml:space="preserve"> jsou značně neurčitého charakteru (míra existující šedé ekonomiky, velikost posílení důkazního postavení správce daně, schopnost správců daně </w:t>
      </w:r>
      <w:r w:rsidR="002567F9">
        <w:t xml:space="preserve">využívat </w:t>
      </w:r>
      <w:r>
        <w:t xml:space="preserve">tohoto nového instrumentu). Z tohoto důvodu je celková, zvláště pak ta makroekonomická, kvantifikace opatření velmi obtížná. Nadto se dá očekávat, že význam opatření bude v praxi flexibilní, neboť </w:t>
      </w:r>
      <w:r w:rsidR="004D3A82">
        <w:t>například</w:t>
      </w:r>
      <w:r>
        <w:t xml:space="preserve"> schopnost </w:t>
      </w:r>
      <w:r w:rsidR="004D3A82">
        <w:t xml:space="preserve">správce daně </w:t>
      </w:r>
      <w:r>
        <w:t xml:space="preserve">používat </w:t>
      </w:r>
      <w:r w:rsidR="004D3A82">
        <w:t>tento instrument se</w:t>
      </w:r>
      <w:r>
        <w:t xml:space="preserve"> </w:t>
      </w:r>
      <w:r w:rsidR="002567F9">
        <w:t xml:space="preserve">bude </w:t>
      </w:r>
      <w:r w:rsidR="004D3A82">
        <w:t>postupem času zvyšovat. N</w:t>
      </w:r>
      <w:r>
        <w:t xml:space="preserve">a druhou stranu protipůsobícím prvkem bude </w:t>
      </w:r>
      <w:r w:rsidR="004D3A82">
        <w:t xml:space="preserve">zvyšující se </w:t>
      </w:r>
      <w:r>
        <w:t xml:space="preserve">schopnost poplatníků tento institut účinně obcházet (tj. tyto dva jmenované vlivy se </w:t>
      </w:r>
      <w:r w:rsidR="004D3A82">
        <w:t xml:space="preserve">zřejmě </w:t>
      </w:r>
      <w:r>
        <w:t>budou vzájemně kompenzovat</w:t>
      </w:r>
      <w:r w:rsidR="004D3A82">
        <w:t>)</w:t>
      </w:r>
      <w:r>
        <w:t>.</w:t>
      </w:r>
    </w:p>
    <w:p w:rsidR="00DC4913" w:rsidRDefault="00DC4913" w:rsidP="00DC4913">
      <w:r>
        <w:t>Opatření se týká následujících dotčených subjektů:</w:t>
      </w:r>
    </w:p>
    <w:p w:rsidR="00FC5D7C" w:rsidRPr="00790DA8" w:rsidRDefault="00FC5D7C" w:rsidP="00B85A1E">
      <w:pPr>
        <w:pStyle w:val="Odstavecseseznamem"/>
        <w:numPr>
          <w:ilvl w:val="0"/>
          <w:numId w:val="21"/>
        </w:numPr>
        <w:spacing w:after="60"/>
        <w:ind w:left="714" w:hanging="357"/>
        <w:rPr>
          <w:rFonts w:ascii="Times New Roman" w:hAnsi="Times New Roman" w:cs="Times New Roman"/>
          <w:bCs/>
          <w:sz w:val="24"/>
          <w:szCs w:val="24"/>
        </w:rPr>
      </w:pPr>
      <w:r w:rsidRPr="00790DA8">
        <w:rPr>
          <w:rFonts w:ascii="Times New Roman" w:hAnsi="Times New Roman" w:cs="Times New Roman"/>
          <w:bCs/>
          <w:sz w:val="24"/>
          <w:szCs w:val="24"/>
        </w:rPr>
        <w:t>poplatníci daně z příjmů fyzických osob a poplatníci daně z příjmů právnických osob (lhostejno, zda tito poplatníci daňovou povinnost provádějí autonomně či</w:t>
      </w:r>
      <w:r w:rsidR="00B65FE8">
        <w:rPr>
          <w:rFonts w:ascii="Times New Roman" w:hAnsi="Times New Roman" w:cs="Times New Roman"/>
          <w:bCs/>
          <w:sz w:val="24"/>
          <w:szCs w:val="24"/>
        </w:rPr>
        <w:t> </w:t>
      </w:r>
      <w:r w:rsidRPr="00790DA8">
        <w:rPr>
          <w:rFonts w:ascii="Times New Roman" w:hAnsi="Times New Roman" w:cs="Times New Roman"/>
          <w:bCs/>
          <w:sz w:val="24"/>
          <w:szCs w:val="24"/>
        </w:rPr>
        <w:t>prostřednictvím plátce daně) a</w:t>
      </w:r>
    </w:p>
    <w:p w:rsidR="00CC3E69" w:rsidRPr="00CC3E69" w:rsidRDefault="00DC4913" w:rsidP="00B85A1E">
      <w:pPr>
        <w:pStyle w:val="Odstavecseseznamem"/>
        <w:numPr>
          <w:ilvl w:val="0"/>
          <w:numId w:val="21"/>
        </w:numPr>
        <w:spacing w:after="60"/>
        <w:ind w:left="714" w:hanging="357"/>
        <w:rPr>
          <w:rFonts w:ascii="Times New Roman" w:hAnsi="Times New Roman" w:cs="Times New Roman"/>
          <w:bCs/>
          <w:sz w:val="24"/>
          <w:szCs w:val="24"/>
        </w:rPr>
      </w:pPr>
      <w:r w:rsidRPr="00790DA8">
        <w:rPr>
          <w:rFonts w:ascii="Times New Roman" w:hAnsi="Times New Roman" w:cs="Times New Roman"/>
          <w:bCs/>
          <w:sz w:val="24"/>
          <w:szCs w:val="24"/>
        </w:rPr>
        <w:t>správce daně</w:t>
      </w:r>
      <w:r w:rsidR="00FC5D7C" w:rsidRPr="00790DA8">
        <w:rPr>
          <w:rFonts w:ascii="Times New Roman" w:hAnsi="Times New Roman" w:cs="Times New Roman"/>
          <w:bCs/>
          <w:sz w:val="24"/>
          <w:szCs w:val="24"/>
        </w:rPr>
        <w:t>.</w:t>
      </w:r>
    </w:p>
    <w:p w:rsidR="00DC4913" w:rsidRDefault="00DC4913" w:rsidP="006E4B5F">
      <w:pPr>
        <w:keepNext/>
      </w:pPr>
      <w:r>
        <w:t>Z tohoto pohledu lze identifikovat následující náklady a přínosy daného opatření:</w:t>
      </w:r>
    </w:p>
    <w:p w:rsidR="00DC4913" w:rsidRPr="007B64C1" w:rsidRDefault="00DC4913" w:rsidP="00B85A1E">
      <w:pPr>
        <w:pStyle w:val="Odstavecseseznamem"/>
        <w:numPr>
          <w:ilvl w:val="0"/>
          <w:numId w:val="21"/>
        </w:numPr>
        <w:spacing w:after="60"/>
        <w:ind w:left="714" w:hanging="357"/>
        <w:rPr>
          <w:rFonts w:ascii="Times New Roman" w:hAnsi="Times New Roman" w:cs="Times New Roman"/>
          <w:sz w:val="24"/>
          <w:szCs w:val="24"/>
        </w:rPr>
      </w:pPr>
      <w:r w:rsidRPr="007B64C1">
        <w:rPr>
          <w:rFonts w:ascii="Times New Roman" w:hAnsi="Times New Roman" w:cs="Times New Roman"/>
          <w:b/>
          <w:sz w:val="24"/>
          <w:szCs w:val="24"/>
        </w:rPr>
        <w:t>narovnání poctivé konkurence mezi subjekty</w:t>
      </w:r>
      <w:r w:rsidRPr="007B64C1">
        <w:rPr>
          <w:rFonts w:ascii="Times New Roman" w:hAnsi="Times New Roman" w:cs="Times New Roman"/>
          <w:sz w:val="24"/>
          <w:szCs w:val="24"/>
        </w:rPr>
        <w:t xml:space="preserve"> – opatření si především klade za </w:t>
      </w:r>
      <w:r>
        <w:rPr>
          <w:rFonts w:ascii="Times New Roman" w:hAnsi="Times New Roman" w:cs="Times New Roman"/>
          <w:sz w:val="24"/>
          <w:szCs w:val="24"/>
        </w:rPr>
        <w:t>cíl</w:t>
      </w:r>
      <w:r w:rsidRPr="007B64C1">
        <w:rPr>
          <w:rFonts w:ascii="Times New Roman" w:hAnsi="Times New Roman" w:cs="Times New Roman"/>
          <w:sz w:val="24"/>
          <w:szCs w:val="24"/>
        </w:rPr>
        <w:t xml:space="preserve"> stanovovat daně co nejblíže té výši, jakou </w:t>
      </w:r>
      <w:r w:rsidRPr="00790DA8">
        <w:rPr>
          <w:rFonts w:ascii="Times New Roman" w:hAnsi="Times New Roman" w:cs="Times New Roman"/>
          <w:bCs/>
          <w:sz w:val="24"/>
          <w:szCs w:val="24"/>
        </w:rPr>
        <w:t>stanovuje</w:t>
      </w:r>
      <w:r w:rsidRPr="007B64C1">
        <w:rPr>
          <w:rFonts w:ascii="Times New Roman" w:hAnsi="Times New Roman" w:cs="Times New Roman"/>
          <w:sz w:val="24"/>
          <w:szCs w:val="24"/>
        </w:rPr>
        <w:t xml:space="preserve"> zákon</w:t>
      </w:r>
      <w:r>
        <w:rPr>
          <w:rFonts w:ascii="Times New Roman" w:hAnsi="Times New Roman" w:cs="Times New Roman"/>
          <w:sz w:val="24"/>
          <w:szCs w:val="24"/>
        </w:rPr>
        <w:t>;</w:t>
      </w:r>
      <w:r w:rsidRPr="007B64C1">
        <w:rPr>
          <w:rFonts w:ascii="Times New Roman" w:hAnsi="Times New Roman" w:cs="Times New Roman"/>
          <w:sz w:val="24"/>
          <w:szCs w:val="24"/>
        </w:rPr>
        <w:t xml:space="preserve"> </w:t>
      </w:r>
      <w:r>
        <w:rPr>
          <w:rFonts w:ascii="Times New Roman" w:hAnsi="Times New Roman" w:cs="Times New Roman"/>
          <w:sz w:val="24"/>
          <w:szCs w:val="24"/>
        </w:rPr>
        <w:t>t</w:t>
      </w:r>
      <w:r w:rsidRPr="007B64C1">
        <w:rPr>
          <w:rFonts w:ascii="Times New Roman" w:hAnsi="Times New Roman" w:cs="Times New Roman"/>
          <w:sz w:val="24"/>
          <w:szCs w:val="24"/>
        </w:rPr>
        <w:t>oto opatření tedy vede k narovnávání chtěné daňové zátěže mezi jednotlivými poplatníky (tj. mezi tím, kdo</w:t>
      </w:r>
      <w:r w:rsidR="00CA62A1">
        <w:rPr>
          <w:rFonts w:ascii="Times New Roman" w:hAnsi="Times New Roman" w:cs="Times New Roman"/>
          <w:sz w:val="24"/>
          <w:szCs w:val="24"/>
        </w:rPr>
        <w:t> </w:t>
      </w:r>
      <w:r w:rsidRPr="007B64C1">
        <w:rPr>
          <w:rFonts w:ascii="Times New Roman" w:hAnsi="Times New Roman" w:cs="Times New Roman"/>
          <w:sz w:val="24"/>
          <w:szCs w:val="24"/>
        </w:rPr>
        <w:t>řádně plní daňové povinnosti a k</w:t>
      </w:r>
      <w:r>
        <w:rPr>
          <w:rFonts w:ascii="Times New Roman" w:hAnsi="Times New Roman" w:cs="Times New Roman"/>
          <w:sz w:val="24"/>
          <w:szCs w:val="24"/>
        </w:rPr>
        <w:t>do je řádně neplní),</w:t>
      </w:r>
    </w:p>
    <w:p w:rsidR="00DC4913" w:rsidRPr="007B64C1" w:rsidRDefault="00DC4913" w:rsidP="00B85A1E">
      <w:pPr>
        <w:pStyle w:val="Odstavecseseznamem"/>
        <w:numPr>
          <w:ilvl w:val="0"/>
          <w:numId w:val="21"/>
        </w:numPr>
        <w:spacing w:after="60"/>
        <w:ind w:left="714" w:hanging="357"/>
        <w:rPr>
          <w:rFonts w:ascii="Times New Roman" w:hAnsi="Times New Roman" w:cs="Times New Roman"/>
          <w:sz w:val="24"/>
          <w:szCs w:val="24"/>
        </w:rPr>
      </w:pPr>
      <w:r w:rsidRPr="007B64C1">
        <w:rPr>
          <w:rFonts w:ascii="Times New Roman" w:hAnsi="Times New Roman" w:cs="Times New Roman"/>
          <w:b/>
          <w:sz w:val="24"/>
          <w:szCs w:val="24"/>
        </w:rPr>
        <w:lastRenderedPageBreak/>
        <w:t>zvýšení příjmu veřejných rozpočtů</w:t>
      </w:r>
      <w:r w:rsidRPr="007B64C1">
        <w:rPr>
          <w:rFonts w:ascii="Times New Roman" w:hAnsi="Times New Roman" w:cs="Times New Roman"/>
          <w:sz w:val="24"/>
          <w:szCs w:val="24"/>
        </w:rPr>
        <w:t xml:space="preserve"> – v důsledku tohoto opatření dojde ke zvýšení příjmů veřejných rozpočtů, neboť </w:t>
      </w:r>
      <w:r w:rsidRPr="00790DA8">
        <w:rPr>
          <w:rFonts w:ascii="Times New Roman" w:hAnsi="Times New Roman" w:cs="Times New Roman"/>
          <w:bCs/>
          <w:sz w:val="24"/>
          <w:szCs w:val="24"/>
        </w:rPr>
        <w:t>prostřednictvím</w:t>
      </w:r>
      <w:r w:rsidRPr="007B64C1">
        <w:rPr>
          <w:rFonts w:ascii="Times New Roman" w:hAnsi="Times New Roman" w:cs="Times New Roman"/>
          <w:sz w:val="24"/>
          <w:szCs w:val="24"/>
        </w:rPr>
        <w:t xml:space="preserve"> něj je možno da</w:t>
      </w:r>
      <w:r>
        <w:rPr>
          <w:rFonts w:ascii="Times New Roman" w:hAnsi="Times New Roman" w:cs="Times New Roman"/>
          <w:sz w:val="24"/>
          <w:szCs w:val="24"/>
        </w:rPr>
        <w:t>ň dodatečně vybírat;</w:t>
      </w:r>
      <w:r w:rsidRPr="007B64C1">
        <w:rPr>
          <w:rFonts w:ascii="Times New Roman" w:hAnsi="Times New Roman" w:cs="Times New Roman"/>
          <w:sz w:val="24"/>
          <w:szCs w:val="24"/>
        </w:rPr>
        <w:t xml:space="preserve"> </w:t>
      </w:r>
      <w:r>
        <w:rPr>
          <w:rFonts w:ascii="Times New Roman" w:hAnsi="Times New Roman" w:cs="Times New Roman"/>
          <w:sz w:val="24"/>
          <w:szCs w:val="24"/>
        </w:rPr>
        <w:t>z</w:t>
      </w:r>
      <w:r w:rsidRPr="007B64C1">
        <w:rPr>
          <w:rFonts w:ascii="Times New Roman" w:hAnsi="Times New Roman" w:cs="Times New Roman"/>
          <w:sz w:val="24"/>
          <w:szCs w:val="24"/>
        </w:rPr>
        <w:t xml:space="preserve">výšení inkasa veřejných rozpočtů v důsledku tohoto opatření nebude probíhat pouze jeho bezprostřední </w:t>
      </w:r>
      <w:r w:rsidRPr="00790DA8">
        <w:rPr>
          <w:rFonts w:ascii="Times New Roman" w:hAnsi="Times New Roman" w:cs="Times New Roman"/>
          <w:bCs/>
          <w:sz w:val="24"/>
          <w:szCs w:val="24"/>
        </w:rPr>
        <w:t>aplikací</w:t>
      </w:r>
      <w:r w:rsidRPr="007B64C1">
        <w:rPr>
          <w:rFonts w:ascii="Times New Roman" w:hAnsi="Times New Roman" w:cs="Times New Roman"/>
          <w:sz w:val="24"/>
          <w:szCs w:val="24"/>
        </w:rPr>
        <w:t>, ale dá se očekávat, že částečně bude inkaso navýšeno i jeho p</w:t>
      </w:r>
      <w:r>
        <w:rPr>
          <w:rFonts w:ascii="Times New Roman" w:hAnsi="Times New Roman" w:cs="Times New Roman"/>
          <w:sz w:val="24"/>
          <w:szCs w:val="24"/>
        </w:rPr>
        <w:t xml:space="preserve">reventivním </w:t>
      </w:r>
      <w:r w:rsidRPr="00F771CF">
        <w:rPr>
          <w:rFonts w:ascii="Times New Roman" w:hAnsi="Times New Roman" w:cs="Times New Roman"/>
          <w:sz w:val="24"/>
          <w:szCs w:val="24"/>
        </w:rPr>
        <w:t>působením</w:t>
      </w:r>
      <w:r w:rsidR="00F771CF">
        <w:rPr>
          <w:rFonts w:ascii="Times New Roman" w:hAnsi="Times New Roman" w:cs="Times New Roman"/>
          <w:sz w:val="24"/>
          <w:szCs w:val="24"/>
        </w:rPr>
        <w:t>; jelikož se</w:t>
      </w:r>
      <w:r w:rsidR="00F771CF" w:rsidRPr="00F771CF">
        <w:rPr>
          <w:rFonts w:ascii="Times New Roman" w:hAnsi="Times New Roman" w:cs="Times New Roman"/>
          <w:sz w:val="24"/>
          <w:szCs w:val="24"/>
        </w:rPr>
        <w:t xml:space="preserve"> </w:t>
      </w:r>
      <w:r w:rsidR="00F771CF" w:rsidRPr="00F771CF">
        <w:rPr>
          <w:rFonts w:ascii="Times New Roman" w:hAnsi="Times New Roman"/>
          <w:sz w:val="24"/>
          <w:szCs w:val="24"/>
        </w:rPr>
        <w:t>jedná o dodatečné zdanění v minulosti nezdaněných příjmů</w:t>
      </w:r>
      <w:r w:rsidR="00F771CF">
        <w:rPr>
          <w:rFonts w:ascii="Times New Roman" w:hAnsi="Times New Roman"/>
          <w:sz w:val="24"/>
          <w:szCs w:val="24"/>
        </w:rPr>
        <w:t>, dojde</w:t>
      </w:r>
      <w:r w:rsidR="00F771CF" w:rsidRPr="00F771CF">
        <w:rPr>
          <w:rFonts w:ascii="Times New Roman" w:hAnsi="Times New Roman"/>
          <w:sz w:val="24"/>
          <w:szCs w:val="24"/>
        </w:rPr>
        <w:t xml:space="preserve"> k navýšení příjmů veřejných rozpočtů</w:t>
      </w:r>
      <w:r w:rsidR="002556D1">
        <w:rPr>
          <w:rFonts w:ascii="Times New Roman" w:hAnsi="Times New Roman"/>
          <w:sz w:val="24"/>
          <w:szCs w:val="24"/>
        </w:rPr>
        <w:t>,</w:t>
      </w:r>
      <w:r w:rsidR="00F771CF" w:rsidRPr="00F771CF">
        <w:rPr>
          <w:rFonts w:ascii="Times New Roman" w:hAnsi="Times New Roman"/>
          <w:sz w:val="24"/>
          <w:szCs w:val="24"/>
        </w:rPr>
        <w:t xml:space="preserve"> </w:t>
      </w:r>
      <w:r w:rsidR="00F771CF">
        <w:rPr>
          <w:rFonts w:ascii="Times New Roman" w:hAnsi="Times New Roman"/>
          <w:sz w:val="24"/>
          <w:szCs w:val="24"/>
        </w:rPr>
        <w:t>bez</w:t>
      </w:r>
      <w:r w:rsidR="00CA62A1">
        <w:rPr>
          <w:rFonts w:ascii="Times New Roman" w:hAnsi="Times New Roman"/>
          <w:sz w:val="24"/>
          <w:szCs w:val="24"/>
        </w:rPr>
        <w:t> </w:t>
      </w:r>
      <w:r w:rsidR="00F771CF">
        <w:rPr>
          <w:rFonts w:ascii="Times New Roman" w:hAnsi="Times New Roman"/>
          <w:sz w:val="24"/>
          <w:szCs w:val="24"/>
        </w:rPr>
        <w:t>toho aniž by byla</w:t>
      </w:r>
      <w:r w:rsidR="00F771CF" w:rsidRPr="00F771CF">
        <w:rPr>
          <w:rFonts w:ascii="Times New Roman" w:hAnsi="Times New Roman"/>
          <w:sz w:val="24"/>
          <w:szCs w:val="24"/>
        </w:rPr>
        <w:t xml:space="preserve"> </w:t>
      </w:r>
      <w:r w:rsidR="00F771CF">
        <w:rPr>
          <w:rFonts w:ascii="Times New Roman" w:hAnsi="Times New Roman"/>
          <w:sz w:val="24"/>
          <w:szCs w:val="24"/>
        </w:rPr>
        <w:t>zvýšena daňová</w:t>
      </w:r>
      <w:r w:rsidR="002556D1">
        <w:rPr>
          <w:rFonts w:ascii="Times New Roman" w:hAnsi="Times New Roman"/>
          <w:sz w:val="24"/>
          <w:szCs w:val="24"/>
        </w:rPr>
        <w:t xml:space="preserve"> zátěž poplatníků,</w:t>
      </w:r>
      <w:r w:rsidR="00F771CF" w:rsidRPr="00F771CF">
        <w:rPr>
          <w:rFonts w:ascii="Times New Roman" w:hAnsi="Times New Roman"/>
          <w:sz w:val="24"/>
          <w:szCs w:val="24"/>
        </w:rPr>
        <w:t xml:space="preserve"> </w:t>
      </w:r>
    </w:p>
    <w:p w:rsidR="00DC4913" w:rsidRPr="007B64C1" w:rsidRDefault="00DC4913" w:rsidP="00B85A1E">
      <w:pPr>
        <w:pStyle w:val="Odstavecseseznamem"/>
        <w:numPr>
          <w:ilvl w:val="0"/>
          <w:numId w:val="21"/>
        </w:numPr>
        <w:spacing w:after="60"/>
        <w:ind w:left="714" w:hanging="357"/>
        <w:rPr>
          <w:rFonts w:ascii="Times New Roman" w:hAnsi="Times New Roman" w:cs="Times New Roman"/>
          <w:sz w:val="24"/>
          <w:szCs w:val="24"/>
        </w:rPr>
      </w:pPr>
      <w:r w:rsidRPr="007B64C1">
        <w:rPr>
          <w:rFonts w:ascii="Times New Roman" w:hAnsi="Times New Roman" w:cs="Times New Roman"/>
          <w:b/>
          <w:sz w:val="24"/>
          <w:szCs w:val="24"/>
        </w:rPr>
        <w:t>zvýšen</w:t>
      </w:r>
      <w:r w:rsidR="0050543B">
        <w:rPr>
          <w:rFonts w:ascii="Times New Roman" w:hAnsi="Times New Roman" w:cs="Times New Roman"/>
          <w:b/>
          <w:sz w:val="24"/>
          <w:szCs w:val="24"/>
        </w:rPr>
        <w:t>í</w:t>
      </w:r>
      <w:r w:rsidRPr="007B64C1">
        <w:rPr>
          <w:rFonts w:ascii="Times New Roman" w:hAnsi="Times New Roman" w:cs="Times New Roman"/>
          <w:b/>
          <w:sz w:val="24"/>
          <w:szCs w:val="24"/>
        </w:rPr>
        <w:t xml:space="preserve"> administrativ</w:t>
      </w:r>
      <w:r w:rsidR="0050543B">
        <w:rPr>
          <w:rFonts w:ascii="Times New Roman" w:hAnsi="Times New Roman" w:cs="Times New Roman"/>
          <w:b/>
          <w:sz w:val="24"/>
          <w:szCs w:val="24"/>
        </w:rPr>
        <w:t xml:space="preserve">ní zátěže </w:t>
      </w:r>
      <w:r w:rsidRPr="007B64C1">
        <w:rPr>
          <w:rFonts w:ascii="Times New Roman" w:hAnsi="Times New Roman" w:cs="Times New Roman"/>
          <w:b/>
          <w:sz w:val="24"/>
          <w:szCs w:val="24"/>
        </w:rPr>
        <w:t>poplatníků</w:t>
      </w:r>
      <w:r w:rsidRPr="007B64C1">
        <w:rPr>
          <w:rFonts w:ascii="Times New Roman" w:hAnsi="Times New Roman" w:cs="Times New Roman"/>
          <w:sz w:val="24"/>
          <w:szCs w:val="24"/>
        </w:rPr>
        <w:t xml:space="preserve"> </w:t>
      </w:r>
      <w:r w:rsidR="00CC3E69">
        <w:rPr>
          <w:rFonts w:ascii="Times New Roman" w:hAnsi="Times New Roman" w:cs="Times New Roman"/>
          <w:sz w:val="24"/>
          <w:szCs w:val="24"/>
        </w:rPr>
        <w:t xml:space="preserve">– </w:t>
      </w:r>
      <w:r w:rsidR="002567F9">
        <w:rPr>
          <w:rFonts w:ascii="Times New Roman" w:hAnsi="Times New Roman" w:cs="Times New Roman"/>
          <w:sz w:val="24"/>
          <w:szCs w:val="24"/>
        </w:rPr>
        <w:t xml:space="preserve">zvýšení </w:t>
      </w:r>
      <w:r w:rsidR="00CC3E69">
        <w:rPr>
          <w:rFonts w:ascii="Times New Roman" w:hAnsi="Times New Roman" w:cs="Times New Roman"/>
          <w:sz w:val="24"/>
          <w:szCs w:val="24"/>
        </w:rPr>
        <w:t xml:space="preserve">je individuální </w:t>
      </w:r>
      <w:r w:rsidRPr="007B64C1">
        <w:rPr>
          <w:rFonts w:ascii="Times New Roman" w:hAnsi="Times New Roman" w:cs="Times New Roman"/>
          <w:sz w:val="24"/>
          <w:szCs w:val="24"/>
        </w:rPr>
        <w:t>v závislosti na</w:t>
      </w:r>
      <w:r w:rsidR="00413DCA">
        <w:rPr>
          <w:rFonts w:ascii="Times New Roman" w:hAnsi="Times New Roman" w:cs="Times New Roman"/>
          <w:sz w:val="24"/>
          <w:szCs w:val="24"/>
        </w:rPr>
        <w:t> </w:t>
      </w:r>
      <w:r w:rsidRPr="007B64C1">
        <w:rPr>
          <w:rFonts w:ascii="Times New Roman" w:hAnsi="Times New Roman" w:cs="Times New Roman"/>
          <w:sz w:val="24"/>
          <w:szCs w:val="24"/>
        </w:rPr>
        <w:t>obsahu požadované</w:t>
      </w:r>
      <w:r w:rsidR="00CC3E69">
        <w:rPr>
          <w:rFonts w:ascii="Times New Roman" w:hAnsi="Times New Roman" w:cs="Times New Roman"/>
          <w:sz w:val="24"/>
          <w:szCs w:val="24"/>
        </w:rPr>
        <w:t xml:space="preserve"> informace i na </w:t>
      </w:r>
      <w:r w:rsidR="00CC3E69" w:rsidRPr="0050543B">
        <w:rPr>
          <w:rFonts w:ascii="Times New Roman" w:hAnsi="Times New Roman" w:cs="Times New Roman"/>
          <w:sz w:val="24"/>
          <w:szCs w:val="24"/>
        </w:rPr>
        <w:t>typu poplatníka</w:t>
      </w:r>
      <w:r w:rsidRPr="0050543B">
        <w:rPr>
          <w:rFonts w:ascii="Times New Roman" w:hAnsi="Times New Roman" w:cs="Times New Roman"/>
          <w:sz w:val="24"/>
          <w:szCs w:val="24"/>
        </w:rPr>
        <w:t>, může se totiž často jednat pouze o</w:t>
      </w:r>
      <w:r w:rsidR="0050543B">
        <w:rPr>
          <w:rFonts w:ascii="Times New Roman" w:hAnsi="Times New Roman" w:cs="Times New Roman"/>
          <w:sz w:val="24"/>
          <w:szCs w:val="24"/>
        </w:rPr>
        <w:t> </w:t>
      </w:r>
      <w:r w:rsidRPr="0050543B">
        <w:rPr>
          <w:rFonts w:ascii="Times New Roman" w:hAnsi="Times New Roman" w:cs="Times New Roman"/>
          <w:sz w:val="24"/>
          <w:szCs w:val="24"/>
        </w:rPr>
        <w:t>dotaz na informaci, kterou je poplatník schopen podat bez větších obtíží a</w:t>
      </w:r>
      <w:r w:rsidR="0050543B">
        <w:rPr>
          <w:rFonts w:ascii="Times New Roman" w:hAnsi="Times New Roman" w:cs="Times New Roman"/>
          <w:sz w:val="24"/>
          <w:szCs w:val="24"/>
        </w:rPr>
        <w:t> </w:t>
      </w:r>
      <w:r w:rsidRPr="0050543B">
        <w:rPr>
          <w:rFonts w:ascii="Times New Roman" w:hAnsi="Times New Roman" w:cs="Times New Roman"/>
          <w:sz w:val="24"/>
          <w:szCs w:val="24"/>
        </w:rPr>
        <w:t>nákladů; na druhou stranu se může též jednat o</w:t>
      </w:r>
      <w:r w:rsidR="002567F9">
        <w:rPr>
          <w:rFonts w:ascii="Times New Roman" w:hAnsi="Times New Roman" w:cs="Times New Roman"/>
          <w:sz w:val="24"/>
          <w:szCs w:val="24"/>
        </w:rPr>
        <w:t xml:space="preserve"> požadavek na sdělení</w:t>
      </w:r>
      <w:r w:rsidRPr="0050543B">
        <w:rPr>
          <w:rFonts w:ascii="Times New Roman" w:hAnsi="Times New Roman" w:cs="Times New Roman"/>
          <w:sz w:val="24"/>
          <w:szCs w:val="24"/>
        </w:rPr>
        <w:t xml:space="preserve"> komplexnější</w:t>
      </w:r>
      <w:r w:rsidR="002567F9">
        <w:rPr>
          <w:rFonts w:ascii="Times New Roman" w:hAnsi="Times New Roman" w:cs="Times New Roman"/>
          <w:sz w:val="24"/>
          <w:szCs w:val="24"/>
        </w:rPr>
        <w:t>ch</w:t>
      </w:r>
      <w:r w:rsidRPr="0050543B">
        <w:rPr>
          <w:rFonts w:ascii="Times New Roman" w:hAnsi="Times New Roman" w:cs="Times New Roman"/>
          <w:sz w:val="24"/>
          <w:szCs w:val="24"/>
        </w:rPr>
        <w:t xml:space="preserve"> údaj</w:t>
      </w:r>
      <w:r w:rsidR="002567F9">
        <w:rPr>
          <w:rFonts w:ascii="Times New Roman" w:hAnsi="Times New Roman" w:cs="Times New Roman"/>
          <w:sz w:val="24"/>
          <w:szCs w:val="24"/>
        </w:rPr>
        <w:t>ů</w:t>
      </w:r>
      <w:r w:rsidRPr="0050543B">
        <w:rPr>
          <w:rFonts w:ascii="Times New Roman" w:hAnsi="Times New Roman" w:cs="Times New Roman"/>
          <w:sz w:val="24"/>
          <w:szCs w:val="24"/>
        </w:rPr>
        <w:t xml:space="preserve">, </w:t>
      </w:r>
      <w:r w:rsidR="002567F9">
        <w:rPr>
          <w:rFonts w:ascii="Times New Roman" w:hAnsi="Times New Roman" w:cs="Times New Roman"/>
          <w:sz w:val="24"/>
          <w:szCs w:val="24"/>
        </w:rPr>
        <w:t>jejichž poskytnutí je</w:t>
      </w:r>
      <w:r w:rsidRPr="0050543B">
        <w:rPr>
          <w:rFonts w:ascii="Times New Roman" w:hAnsi="Times New Roman" w:cs="Times New Roman"/>
          <w:sz w:val="24"/>
          <w:szCs w:val="24"/>
        </w:rPr>
        <w:t xml:space="preserve"> nákladné zejména na čas (buď poplatníka samotného, jeho zaměstnanců nebo např. daňového poradce poplatníka),</w:t>
      </w:r>
    </w:p>
    <w:p w:rsidR="00DC4913" w:rsidRPr="007B64C1" w:rsidRDefault="00DC4913" w:rsidP="00B85A1E">
      <w:pPr>
        <w:pStyle w:val="Odstavecseseznamem"/>
        <w:numPr>
          <w:ilvl w:val="0"/>
          <w:numId w:val="21"/>
        </w:numPr>
        <w:spacing w:after="60"/>
        <w:ind w:left="714" w:hanging="357"/>
        <w:rPr>
          <w:rFonts w:ascii="Times New Roman" w:hAnsi="Times New Roman" w:cs="Times New Roman"/>
          <w:sz w:val="24"/>
          <w:szCs w:val="24"/>
        </w:rPr>
      </w:pPr>
      <w:r w:rsidRPr="007B64C1">
        <w:rPr>
          <w:rFonts w:ascii="Times New Roman" w:hAnsi="Times New Roman" w:cs="Times New Roman"/>
          <w:b/>
          <w:sz w:val="24"/>
          <w:szCs w:val="24"/>
        </w:rPr>
        <w:t>administrativ</w:t>
      </w:r>
      <w:r w:rsidR="0050543B">
        <w:rPr>
          <w:rFonts w:ascii="Times New Roman" w:hAnsi="Times New Roman" w:cs="Times New Roman"/>
          <w:b/>
          <w:sz w:val="24"/>
          <w:szCs w:val="24"/>
        </w:rPr>
        <w:t>ní zátěž</w:t>
      </w:r>
      <w:r w:rsidRPr="007B64C1">
        <w:rPr>
          <w:rFonts w:ascii="Times New Roman" w:hAnsi="Times New Roman" w:cs="Times New Roman"/>
          <w:b/>
          <w:sz w:val="24"/>
          <w:szCs w:val="24"/>
        </w:rPr>
        <w:t xml:space="preserve"> správce daně</w:t>
      </w:r>
      <w:r w:rsidR="0050543B">
        <w:rPr>
          <w:rFonts w:ascii="Times New Roman" w:hAnsi="Times New Roman" w:cs="Times New Roman"/>
          <w:sz w:val="24"/>
          <w:szCs w:val="24"/>
        </w:rPr>
        <w:t xml:space="preserve"> – </w:t>
      </w:r>
      <w:r w:rsidRPr="007B64C1">
        <w:rPr>
          <w:rFonts w:ascii="Times New Roman" w:hAnsi="Times New Roman" w:cs="Times New Roman"/>
          <w:sz w:val="24"/>
          <w:szCs w:val="24"/>
        </w:rPr>
        <w:t>kdy</w:t>
      </w:r>
      <w:r w:rsidR="0050543B">
        <w:rPr>
          <w:rFonts w:ascii="Times New Roman" w:hAnsi="Times New Roman" w:cs="Times New Roman"/>
          <w:sz w:val="24"/>
          <w:szCs w:val="24"/>
        </w:rPr>
        <w:t xml:space="preserve"> </w:t>
      </w:r>
      <w:r w:rsidRPr="007B64C1">
        <w:rPr>
          <w:rFonts w:ascii="Times New Roman" w:hAnsi="Times New Roman" w:cs="Times New Roman"/>
          <w:sz w:val="24"/>
          <w:szCs w:val="24"/>
        </w:rPr>
        <w:t>na jednu stranu jde o její zvýšení (v</w:t>
      </w:r>
      <w:r w:rsidR="0050543B">
        <w:rPr>
          <w:rFonts w:ascii="Times New Roman" w:hAnsi="Times New Roman" w:cs="Times New Roman"/>
          <w:sz w:val="24"/>
          <w:szCs w:val="24"/>
        </w:rPr>
        <w:t> </w:t>
      </w:r>
      <w:r w:rsidRPr="007B64C1">
        <w:rPr>
          <w:rFonts w:ascii="Times New Roman" w:hAnsi="Times New Roman" w:cs="Times New Roman"/>
          <w:sz w:val="24"/>
          <w:szCs w:val="24"/>
        </w:rPr>
        <w:t xml:space="preserve">podobě </w:t>
      </w:r>
      <w:r w:rsidRPr="0050543B">
        <w:rPr>
          <w:rFonts w:ascii="Times New Roman" w:hAnsi="Times New Roman" w:cs="Times New Roman"/>
          <w:i/>
          <w:sz w:val="24"/>
          <w:szCs w:val="24"/>
        </w:rPr>
        <w:t>de facto</w:t>
      </w:r>
      <w:r w:rsidRPr="007B64C1">
        <w:rPr>
          <w:rFonts w:ascii="Times New Roman" w:hAnsi="Times New Roman" w:cs="Times New Roman"/>
          <w:sz w:val="24"/>
          <w:szCs w:val="24"/>
        </w:rPr>
        <w:t xml:space="preserve"> nové agendy), ale na druhé straně se může jednat o její snížení (v</w:t>
      </w:r>
      <w:r w:rsidR="0050543B">
        <w:rPr>
          <w:rFonts w:ascii="Times New Roman" w:hAnsi="Times New Roman" w:cs="Times New Roman"/>
          <w:sz w:val="24"/>
          <w:szCs w:val="24"/>
        </w:rPr>
        <w:t> </w:t>
      </w:r>
      <w:r w:rsidRPr="007B64C1">
        <w:rPr>
          <w:rFonts w:ascii="Times New Roman" w:hAnsi="Times New Roman" w:cs="Times New Roman"/>
          <w:sz w:val="24"/>
          <w:szCs w:val="24"/>
        </w:rPr>
        <w:t>podobě možnosti použití efektivnějšího nástroje než jsou ty stávající)</w:t>
      </w:r>
      <w:r>
        <w:rPr>
          <w:rFonts w:ascii="Times New Roman" w:hAnsi="Times New Roman" w:cs="Times New Roman"/>
          <w:sz w:val="24"/>
          <w:szCs w:val="24"/>
        </w:rPr>
        <w:t>.</w:t>
      </w:r>
    </w:p>
    <w:p w:rsidR="00B729BB" w:rsidRPr="00420C2D" w:rsidRDefault="00B729BB" w:rsidP="0050543B">
      <w:pPr>
        <w:pStyle w:val="Nadpis2"/>
        <w:keepLines/>
        <w:numPr>
          <w:ilvl w:val="1"/>
          <w:numId w:val="9"/>
        </w:numPr>
        <w:shd w:val="clear" w:color="auto" w:fill="FFFFFF"/>
        <w:tabs>
          <w:tab w:val="clear" w:pos="1134"/>
          <w:tab w:val="num" w:pos="550"/>
        </w:tabs>
        <w:spacing w:before="480"/>
        <w:ind w:left="550" w:hanging="550"/>
        <w:jc w:val="both"/>
      </w:pPr>
      <w:r w:rsidRPr="00420C2D">
        <w:t>Zhodnocení dopadu navrhovaného řešení ve vztahu k ochraně soukromí a osobních údajů</w:t>
      </w:r>
    </w:p>
    <w:p w:rsidR="0041267A" w:rsidRPr="0041267A" w:rsidRDefault="0041267A" w:rsidP="0041267A">
      <w:r>
        <w:t>P</w:t>
      </w:r>
      <w:r w:rsidRPr="0041267A">
        <w:t>ři správě daní se uplatňuje zásada neveřejnosti. Ustanovení § 52 daňového řádu ukládá úřední osobě a každému, kdo se jakkoliv zúčastní správy daní, tj. každé osobě zúčastněné na</w:t>
      </w:r>
      <w:r w:rsidR="00CA62A1">
        <w:t> </w:t>
      </w:r>
      <w:r w:rsidRPr="0041267A">
        <w:t>správě daní, povinnost mlčenlivosti o všem, co se při správě daní nebo v souvislosti s ní dozvěděli a co se nějakým způsobem týká majetkových, obchodních či jiných poměrů určité osoby (typicky daňového subjektu). Správce daně je však této povinnosti zproštěn pro účely trestního řízení v situaci, nesplní-li dlužník povinnost podat prohlášení o majetku, vyhýbá-li se jejímu splnění nebo uvede-li nepravdivé nebo hrubě zkreslené údaje (§ 180 odst. 1 daňového řádu</w:t>
      </w:r>
      <w:r w:rsidR="000D50F6">
        <w:t xml:space="preserve"> a navrhovaná právní úprava prohlášení o majetku podle § 38zc a následující zákona o daních z příjmů</w:t>
      </w:r>
      <w:r w:rsidRPr="0041267A">
        <w:t>).</w:t>
      </w:r>
    </w:p>
    <w:p w:rsidR="00B65CDF" w:rsidRDefault="000D50F6" w:rsidP="007A75D2">
      <w:r>
        <w:t>Lze konstatovat, že n</w:t>
      </w:r>
      <w:r w:rsidR="00E256FD">
        <w:t>avrhovaná právní úprava je v souladu se Směrnicí Evropského parlamentu a Rady 95/46/ES ze dne 24. října 1995 o ochraně fyzických osob v souvislosti se</w:t>
      </w:r>
      <w:r w:rsidR="00CA62A1">
        <w:t> </w:t>
      </w:r>
      <w:r w:rsidR="00E256FD">
        <w:t>zpracováním osobních údajů a o volném pohybu těchto údajů a zákonem č. 101/2000 Sb., o</w:t>
      </w:r>
      <w:r w:rsidR="0050543B">
        <w:t> </w:t>
      </w:r>
      <w:r w:rsidR="00E256FD">
        <w:t xml:space="preserve">ochraně osobních údajů a o změně některých zákonů, ve znění pozdějších předpisů. </w:t>
      </w:r>
      <w:r w:rsidR="007A75D2" w:rsidRPr="00747A80">
        <w:t xml:space="preserve">Navrhovaná úprava je </w:t>
      </w:r>
      <w:r w:rsidR="007A75D2">
        <w:t xml:space="preserve">též v </w:t>
      </w:r>
      <w:r w:rsidR="007A75D2" w:rsidRPr="00747A80">
        <w:t>souladu s och</w:t>
      </w:r>
      <w:r w:rsidR="007A75D2">
        <w:t>ranou soukromí a osobních údajů dle čl. 7 odst. 1</w:t>
      </w:r>
      <w:r w:rsidR="00B65FE8">
        <w:t xml:space="preserve"> </w:t>
      </w:r>
      <w:r w:rsidR="007A75D2">
        <w:t>a</w:t>
      </w:r>
      <w:r w:rsidR="00B65FE8">
        <w:t> čl. 10 Listiny.</w:t>
      </w:r>
    </w:p>
    <w:p w:rsidR="00B729BB" w:rsidRPr="00420C2D" w:rsidRDefault="00B729BB" w:rsidP="006E4B5F">
      <w:pPr>
        <w:pStyle w:val="Nadpis2"/>
        <w:numPr>
          <w:ilvl w:val="1"/>
          <w:numId w:val="9"/>
        </w:numPr>
        <w:shd w:val="clear" w:color="auto" w:fill="FFFFFF"/>
        <w:tabs>
          <w:tab w:val="clear" w:pos="1134"/>
          <w:tab w:val="num" w:pos="550"/>
        </w:tabs>
        <w:spacing w:before="480"/>
        <w:ind w:left="550" w:hanging="550"/>
        <w:jc w:val="both"/>
      </w:pPr>
      <w:r w:rsidRPr="00420C2D">
        <w:t>Zhodnocení korupčních rizik navrhovaného řešení (CIA)</w:t>
      </w:r>
    </w:p>
    <w:p w:rsidR="00B729BB" w:rsidRPr="00831ED4" w:rsidRDefault="00B729BB" w:rsidP="006E4B5F">
      <w:pPr>
        <w:pStyle w:val="DTlotextu1"/>
        <w:keepNext/>
        <w:spacing w:before="0"/>
      </w:pPr>
      <w:r w:rsidRPr="00831ED4">
        <w:t>Obecně lze k navrhované úpravě ve vztahu ke vzniku korupčních rizik uvést následující:</w:t>
      </w:r>
    </w:p>
    <w:p w:rsidR="00B729BB" w:rsidRPr="00831ED4" w:rsidRDefault="00B729BB" w:rsidP="006E4B5F">
      <w:pPr>
        <w:pStyle w:val="Dslovnpsmenatun"/>
        <w:keepNext/>
        <w:numPr>
          <w:ilvl w:val="0"/>
          <w:numId w:val="17"/>
        </w:numPr>
        <w:spacing w:before="0"/>
        <w:ind w:left="567" w:hanging="567"/>
      </w:pPr>
      <w:r w:rsidRPr="00831ED4">
        <w:t>Přiměřenost</w:t>
      </w:r>
    </w:p>
    <w:p w:rsidR="00B729BB" w:rsidRDefault="00B729BB" w:rsidP="009B4262">
      <w:pPr>
        <w:pStyle w:val="DTlotextu2"/>
      </w:pPr>
      <w:r w:rsidRPr="00831ED4">
        <w:t xml:space="preserve">Pokud jde o rozsah působnosti správního orgánu, je rozhodující jak zákonný okruh působností jako takový, tak míra diskrece, kterou zákon při výkonu jednotlivých působností správnímu orgánu umožňuje, resp. jakou míru diskrece zákon předpokládá. Jakýkoli normativní text zakotvující určitou míru diskrece sám o sobě představuje potenciální korupční riziko. Proto se při přípravě takového ustanovení vždy poměřuje nutnost zavedení takové diskrece daného orgánu s mírou zásahu do individuální sféry subjektu, o jehož právech a povinnostech by se v rámci této diskrece rozhodovalo. </w:t>
      </w:r>
      <w:r w:rsidRPr="00831ED4">
        <w:lastRenderedPageBreak/>
        <w:t>Navržená právní úprava mění kompetence správních orgánů pouze způsobem, který</w:t>
      </w:r>
      <w:r w:rsidR="00CA62A1">
        <w:t> </w:t>
      </w:r>
      <w:r w:rsidRPr="00831ED4">
        <w:t>zpřesňuje rozsah kompetencí stávajících, nebo stávající kompetence ve stejném nebo upraveném rozsahu svěřuje jinému správnímu orgánu, který je schopen tyto kompetence vykonávat efektivněji, anebo zavádí kompetenci novou, a to pouze v rozsahu nezbytném pro úpravu vztahů, které mají být právní úpravou nově regulovány</w:t>
      </w:r>
      <w:r>
        <w:t xml:space="preserve">, přičemž míra diskrece je </w:t>
      </w:r>
      <w:r w:rsidRPr="009B4262">
        <w:t xml:space="preserve">vzhledem k vymezení povinností (ať už </w:t>
      </w:r>
      <w:r>
        <w:t>z</w:t>
      </w:r>
      <w:r w:rsidRPr="009B4262">
        <w:t>ákonem nebo mezinárodní smlouvou) minimální.</w:t>
      </w:r>
    </w:p>
    <w:p w:rsidR="00B729BB" w:rsidRPr="00831ED4" w:rsidRDefault="00B729BB" w:rsidP="00FC6CFF">
      <w:pPr>
        <w:pStyle w:val="Dslovnpsmenatun"/>
        <w:numPr>
          <w:ilvl w:val="0"/>
          <w:numId w:val="17"/>
        </w:numPr>
        <w:spacing w:before="0"/>
        <w:ind w:left="567" w:hanging="567"/>
      </w:pPr>
      <w:r w:rsidRPr="00831ED4">
        <w:t>Efektivita</w:t>
      </w:r>
    </w:p>
    <w:p w:rsidR="00B729BB" w:rsidRPr="00831ED4" w:rsidRDefault="00B729BB" w:rsidP="006F14AB">
      <w:pPr>
        <w:pStyle w:val="DTlotextu2"/>
        <w:spacing w:before="0"/>
      </w:pPr>
      <w:r w:rsidRPr="00831ED4">
        <w:t>Z hlediska efektivity lze k předložené úpravě poznamenat, že k</w:t>
      </w:r>
      <w:r>
        <w:t>e kontrole a</w:t>
      </w:r>
      <w:r w:rsidRPr="00831ED4">
        <w:t> vynucování splnění povinnost</w:t>
      </w:r>
      <w:r>
        <w:t>í</w:t>
      </w:r>
      <w:r w:rsidRPr="00831ED4">
        <w:t xml:space="preserve"> </w:t>
      </w:r>
      <w:r>
        <w:t xml:space="preserve">stanovených zákonem bude příslušný </w:t>
      </w:r>
      <w:r w:rsidRPr="00831ED4">
        <w:t>správce daně. Tento správce daně obvykle disponuje podklady pro vydání daného rozhodnutí, ale i potřebnými odbornými znalostmi, čímž je zaručena efektivní implementace dané regulace i její efektivní kontrola, případně vynucování. Nástroje kontroly a vynucování jsou upraveny jako obecné instituty daňového řádu.</w:t>
      </w:r>
    </w:p>
    <w:p w:rsidR="00B729BB" w:rsidRPr="00831ED4" w:rsidRDefault="00B729BB" w:rsidP="00FC6CFF">
      <w:pPr>
        <w:pStyle w:val="Dslovnpsmenatun"/>
        <w:numPr>
          <w:ilvl w:val="0"/>
          <w:numId w:val="17"/>
        </w:numPr>
        <w:spacing w:before="0"/>
        <w:ind w:left="567" w:hanging="567"/>
      </w:pPr>
      <w:r w:rsidRPr="00831ED4">
        <w:t>Odpovědnost</w:t>
      </w:r>
    </w:p>
    <w:p w:rsidR="00B729BB" w:rsidRPr="00831ED4" w:rsidRDefault="00B729BB" w:rsidP="004F7E51">
      <w:pPr>
        <w:pStyle w:val="DTlotextu2"/>
        <w:spacing w:before="0"/>
      </w:pPr>
      <w:r w:rsidRPr="00831ED4">
        <w:t>Zvolená právní úprava vždy jasně reflektuje požadavek čl. 79 odst. 1 Ústavy, podle</w:t>
      </w:r>
      <w:r w:rsidR="00B65FE8">
        <w:t> </w:t>
      </w:r>
      <w:r w:rsidRPr="00831ED4">
        <w:t>něhož musí být působnost správního orgánu stanovena zákonem.</w:t>
      </w:r>
    </w:p>
    <w:p w:rsidR="00B729BB" w:rsidRPr="00831ED4" w:rsidRDefault="00B729BB" w:rsidP="000E1794">
      <w:pPr>
        <w:pStyle w:val="DTlotextu2"/>
        <w:spacing w:before="0"/>
      </w:pPr>
      <w:r w:rsidRPr="00831ED4">
        <w:t>Odpovědnou osobou na straně správce daně, resp. jiného správního orgánu je</w:t>
      </w:r>
      <w:r w:rsidR="00B65FE8">
        <w:t> </w:t>
      </w:r>
      <w:r w:rsidRPr="00831ED4">
        <w:t>v daňovém řízení vždy úřední osoba. Určení konkrétní úřední osoby je prováděno na základě vnitřních předpisů, resp. organizačního uspořádání konkrétního správního orgánu, přičemž popis své organizační struktury je správní orgán povinen zveřejnit na základě zákona č. 106/1999 Sb., o svobodném přístupu k informacím, ve znění pozdějších předpisů. Totožnost konkrétní úřední osoby je přitom seznatelná zákonem předvídaným postupem (srov. § 12 odst. 4 daňového řádu); úřední osoba je povinna se při výkonu působnosti správního orgánu prokazovat příslušným služebním průkazem.</w:t>
      </w:r>
    </w:p>
    <w:p w:rsidR="00B729BB" w:rsidRPr="00831ED4" w:rsidRDefault="00B729BB" w:rsidP="00FC6CFF">
      <w:pPr>
        <w:pStyle w:val="Dslovnpsmenatun"/>
        <w:keepNext/>
        <w:numPr>
          <w:ilvl w:val="0"/>
          <w:numId w:val="17"/>
        </w:numPr>
        <w:spacing w:before="0"/>
        <w:ind w:left="567" w:hanging="567"/>
      </w:pPr>
      <w:r w:rsidRPr="00831ED4">
        <w:t>Opravné prostředky</w:t>
      </w:r>
    </w:p>
    <w:p w:rsidR="00B729BB" w:rsidRDefault="00B729BB" w:rsidP="00E95222">
      <w:pPr>
        <w:pStyle w:val="DTlotextu2"/>
        <w:spacing w:before="0"/>
      </w:pPr>
      <w:r w:rsidRPr="003610B5">
        <w:t xml:space="preserve">Z hlediska opravných prostředků existuje možnost účinné obrany proti nesprávnému postupu správce daně v první řadě v podobě řádného opravného prostředku, kterým je odvolání, resp. rozklad (srov. § 109 a násl. daňového řádu). V souladu s § 102 odst. 1 písm. f) daňového řádu má správce daně povinnost v rozhodnutí uvést poučení, zda je možné proti rozhodnutí podat odvolání, v jaké lhůtě je tak možno učinit, u kterého správce daně se odvolání podává, spolu s upozorněním na případné vyloučení odkladného účinku. Neúplné, nesprávné nebo chybějící poučení je spojeno s důsledky </w:t>
      </w:r>
      <w:r w:rsidRPr="003610B5">
        <w:rPr>
          <w:i/>
        </w:rPr>
        <w:t>pro bono</w:t>
      </w:r>
      <w:r w:rsidRPr="003610B5">
        <w:t xml:space="preserve"> daného subjektu uvedenými v § 110 odst. 1 daňového řádu. Existuje také možnost užití mimořádných opravných prostředků dle daňového řádu (srov. § 117 a</w:t>
      </w:r>
      <w:r>
        <w:t> </w:t>
      </w:r>
      <w:r w:rsidRPr="003610B5">
        <w:t>násl. daňového řádu). Vedle opravných prostředků daňový řád připouští rovněž jiné prostředky ochrany, kterými je třeba rozumět: námitku (srov. § 159 daňového řádu), stížnost (srov. § 261 daňového řádu), podnět na nečinnost (srov. § 38 daňového řádu).</w:t>
      </w:r>
    </w:p>
    <w:p w:rsidR="00B729BB" w:rsidRPr="00831ED4" w:rsidRDefault="00B729BB" w:rsidP="00FC6CFF">
      <w:pPr>
        <w:pStyle w:val="Dslovnpsmenatun"/>
        <w:numPr>
          <w:ilvl w:val="0"/>
          <w:numId w:val="17"/>
        </w:numPr>
        <w:spacing w:before="0"/>
        <w:ind w:left="567" w:hanging="567"/>
      </w:pPr>
      <w:r w:rsidRPr="00831ED4">
        <w:t>Kontrolní mechanismy</w:t>
      </w:r>
    </w:p>
    <w:p w:rsidR="00B729BB" w:rsidRPr="00831ED4" w:rsidRDefault="00B729BB" w:rsidP="009B4262">
      <w:pPr>
        <w:pStyle w:val="DTlotextu2"/>
        <w:spacing w:before="0"/>
      </w:pPr>
      <w:r w:rsidRPr="00831ED4">
        <w:t>Z hlediska systému kontrolních mechanismů je nutno uvést, že oblast daňového práva se pohybuje v procesním režimu daňového řádu, jenž obsahuje úpravu kontroly a</w:t>
      </w:r>
      <w:r>
        <w:t> </w:t>
      </w:r>
      <w:r w:rsidRPr="00831ED4">
        <w:t>přezkumu přijatých rozhodnutí, a to primárně formou opravných prostředků. Proti</w:t>
      </w:r>
      <w:r w:rsidR="00B65FE8">
        <w:t> </w:t>
      </w:r>
      <w:r w:rsidRPr="00831ED4">
        <w:t>rozhodnutím je možno podat odvolání anebo v určitých případech užít mimořádných opravných prostředků či jiných prostředků ochrany (viz předchozí bod). Vedle toho lze využít rovněž dozorčí prostředky, čímž je zaručena dostatečná kontrola správnosti a</w:t>
      </w:r>
      <w:r>
        <w:t> </w:t>
      </w:r>
      <w:r w:rsidRPr="00831ED4">
        <w:t>zákonnosti všech rozhodnutí vydávaných v režimu daňového řádu.</w:t>
      </w:r>
    </w:p>
    <w:p w:rsidR="00B729BB" w:rsidRPr="00831ED4" w:rsidRDefault="00B729BB" w:rsidP="009B4262">
      <w:pPr>
        <w:pStyle w:val="DTlotextu2"/>
        <w:spacing w:before="0"/>
      </w:pPr>
      <w:r w:rsidRPr="00831ED4">
        <w:lastRenderedPageBreak/>
        <w:t>Soustavy orgánů vykonávajících správu daní, resp. další dotčené působnosti současně disponují interním systémem kontroly v rámci hierarchie nadřízenosti a podřízenosti včetně navazujícího systému personální odpovědnosti. V případě vydání nezákonného rozhodnutí či nesprávného úředního postupu je s odpovědností konkrétní úřední osoby spojena eventuální povinnost regresní náhrady škody, za níž v důsledku nezákonného rozhodnutí nebo nesprávného úředního postupu odpovídá stát.</w:t>
      </w:r>
    </w:p>
    <w:p w:rsidR="00B729BB" w:rsidRPr="00831ED4" w:rsidRDefault="00B729BB" w:rsidP="009B4262">
      <w:pPr>
        <w:pStyle w:val="DTlotextu1"/>
        <w:spacing w:before="0"/>
      </w:pPr>
      <w:r w:rsidRPr="003610B5">
        <w:t>Z hlediska transparence a otevřenosti dat lze konstatovat, že navrhovaná úprava nemá vliv na dostupnost informací dle zákona č. 106/1999 Sb., o svobodném přístupu k informacím, ve</w:t>
      </w:r>
      <w:r w:rsidR="00B65FE8">
        <w:t> </w:t>
      </w:r>
      <w:r w:rsidRPr="003610B5">
        <w:t>znění pozdějších předpisů.</w:t>
      </w:r>
    </w:p>
    <w:p w:rsidR="00B729BB" w:rsidRPr="00831ED4" w:rsidRDefault="00B729BB" w:rsidP="009B4262">
      <w:pPr>
        <w:pStyle w:val="DTlotextu1"/>
        <w:spacing w:before="0"/>
      </w:pPr>
      <w:r w:rsidRPr="003610B5">
        <w:t>Při správě daní se uplatňuje zásada neveřejnosti. Informace o poměrech daňových subjektů jsou tak chráněny povinností mlčenlivosti pod hrozbou pokuty do výše 500 000 Kč a</w:t>
      </w:r>
      <w:r>
        <w:t> </w:t>
      </w:r>
      <w:r w:rsidRPr="003610B5">
        <w:t xml:space="preserve">nemohou být zpřístupněny veřejnosti. </w:t>
      </w:r>
    </w:p>
    <w:p w:rsidR="00B85A1E" w:rsidRDefault="00B729BB" w:rsidP="0050543B">
      <w:pPr>
        <w:pStyle w:val="DTlotextu1"/>
        <w:spacing w:before="0"/>
      </w:pPr>
      <w:r w:rsidRPr="009B4262">
        <w:t>Pokud dochází k zavedení nových kompetencí orgánů veřejné správy, jsou potenciální korupční rizika, jež nejsou popsána výše, zohledněna ve zvláštní části důvodové zprávy.</w:t>
      </w:r>
    </w:p>
    <w:p w:rsidR="007A537D" w:rsidRPr="004A6859" w:rsidRDefault="007A537D" w:rsidP="007A537D">
      <w:pPr>
        <w:pStyle w:val="Nadpis2"/>
        <w:keepNext w:val="0"/>
        <w:numPr>
          <w:ilvl w:val="1"/>
          <w:numId w:val="9"/>
        </w:numPr>
        <w:shd w:val="clear" w:color="auto" w:fill="FFFFFF"/>
        <w:tabs>
          <w:tab w:val="clear" w:pos="1134"/>
          <w:tab w:val="num" w:pos="550"/>
        </w:tabs>
        <w:spacing w:before="480"/>
        <w:ind w:left="550" w:hanging="550"/>
        <w:jc w:val="both"/>
      </w:pPr>
      <w:r w:rsidRPr="004A6859">
        <w:t>Závěrečná zpráva z hodnocení dopadů regulace (RIA)</w:t>
      </w:r>
    </w:p>
    <w:p w:rsidR="007A537D" w:rsidRPr="004A6859" w:rsidRDefault="007A537D" w:rsidP="007A537D">
      <w:pPr>
        <w:pStyle w:val="DTlotextu1"/>
        <w:spacing w:before="0"/>
      </w:pPr>
      <w:r w:rsidRPr="004A6859">
        <w:t xml:space="preserve">Níže je uveden stručný </w:t>
      </w:r>
      <w:r w:rsidRPr="00413DCA">
        <w:t>souhrn ze závěrečné zprávy z hodnocení dopadů regulace</w:t>
      </w:r>
      <w:r w:rsidRPr="004A6859">
        <w:t xml:space="preserve"> (RIA). Samotná zpráva z hodnocení dopadů regulace, včetně shrnutí závěrečné zprávy RIA, je</w:t>
      </w:r>
      <w:r w:rsidR="00D57B92">
        <w:t> </w:t>
      </w:r>
      <w:r w:rsidRPr="004A6859">
        <w:t>přílohou důvodové zprávy.</w:t>
      </w: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7A537D" w:rsidRPr="004A6859" w:rsidRDefault="007A537D" w:rsidP="00F11574">
      <w:pPr>
        <w:pStyle w:val="Odstavecseseznamem"/>
        <w:numPr>
          <w:ilvl w:val="0"/>
          <w:numId w:val="22"/>
        </w:numPr>
        <w:shd w:val="clear" w:color="auto" w:fill="FFFFFF"/>
        <w:spacing w:before="480"/>
        <w:outlineLvl w:val="1"/>
        <w:rPr>
          <w:rFonts w:ascii="Times New Roman" w:hAnsi="Times New Roman" w:cs="Arial"/>
          <w:b/>
          <w:bCs/>
          <w:iCs/>
          <w:vanish/>
          <w:sz w:val="28"/>
          <w:szCs w:val="28"/>
          <w:lang w:eastAsia="cs-CZ"/>
        </w:rPr>
      </w:pPr>
    </w:p>
    <w:p w:rsidR="0044242B" w:rsidRPr="00F714FF" w:rsidRDefault="0044242B" w:rsidP="008B565F">
      <w:pPr>
        <w:spacing w:after="60"/>
      </w:pPr>
      <w:r>
        <w:t>Jak je podrobněji rozvedeno výše (viz bod 2 a 3) n</w:t>
      </w:r>
      <w:r w:rsidR="007A537D" w:rsidRPr="004A6859">
        <w:t xml:space="preserve">avržená právní úprava je vyvolána především </w:t>
      </w:r>
      <w:r w:rsidR="004A6859" w:rsidRPr="004A6859">
        <w:t>závaz</w:t>
      </w:r>
      <w:r w:rsidR="004A6859">
        <w:t>kem</w:t>
      </w:r>
      <w:r w:rsidR="004A6859" w:rsidRPr="004A6859">
        <w:t xml:space="preserve"> </w:t>
      </w:r>
      <w:r w:rsidR="00A7488B">
        <w:t>v</w:t>
      </w:r>
      <w:r w:rsidR="007A537D" w:rsidRPr="004A6859">
        <w:t>lády vyplývající</w:t>
      </w:r>
      <w:r w:rsidR="004A6859">
        <w:t>m</w:t>
      </w:r>
      <w:r w:rsidR="007A537D" w:rsidRPr="004A6859">
        <w:t xml:space="preserve"> z</w:t>
      </w:r>
      <w:r>
        <w:t> koaliční smlouvy a</w:t>
      </w:r>
      <w:r w:rsidR="00D57B92">
        <w:t> </w:t>
      </w:r>
      <w:r w:rsidR="007A537D" w:rsidRPr="004A6859">
        <w:t>programového prohlášení, ve</w:t>
      </w:r>
      <w:r w:rsidR="00A7488B">
        <w:t> </w:t>
      </w:r>
      <w:r w:rsidR="007A537D" w:rsidRPr="004A6859">
        <w:t>kterém se vláda zavázala podniknout nezbytné kroky v oblasti prokazování původu nabytého majetku a v této souvislosti přijmout přiměřená opatření v daňových a trestněprávních předpisech</w:t>
      </w:r>
      <w:r w:rsidR="007A537D" w:rsidRPr="004A6859">
        <w:rPr>
          <w:rFonts w:ascii="Arial" w:hAnsi="Arial" w:cs="Arial"/>
          <w:sz w:val="28"/>
          <w:szCs w:val="28"/>
        </w:rPr>
        <w:t>.</w:t>
      </w:r>
      <w:r w:rsidR="00F80B92">
        <w:rPr>
          <w:rFonts w:ascii="Arial" w:hAnsi="Arial" w:cs="Arial"/>
          <w:sz w:val="28"/>
          <w:szCs w:val="28"/>
        </w:rPr>
        <w:t xml:space="preserve"> </w:t>
      </w:r>
      <w:r w:rsidR="00F80B92" w:rsidRPr="008B565F">
        <w:t>K nalezení vhodného věcného řešení</w:t>
      </w:r>
      <w:r w:rsidR="007A537D" w:rsidRPr="004A6859">
        <w:t xml:space="preserve"> </w:t>
      </w:r>
      <w:r w:rsidRPr="00F714FF">
        <w:t>Ministerstvo</w:t>
      </w:r>
      <w:r w:rsidR="00F80B92">
        <w:t xml:space="preserve"> </w:t>
      </w:r>
      <w:r w:rsidRPr="00F714FF">
        <w:t>financí ve</w:t>
      </w:r>
      <w:r w:rsidR="00A7488B">
        <w:t> </w:t>
      </w:r>
      <w:r w:rsidRPr="00F714FF">
        <w:t xml:space="preserve">spolupráci s Ministerstvem spravedlnosti </w:t>
      </w:r>
      <w:r w:rsidR="00F80B92" w:rsidRPr="00F714FF">
        <w:t>vypracovalo</w:t>
      </w:r>
      <w:r w:rsidR="00F80B92" w:rsidRPr="008B565F">
        <w:t xml:space="preserve"> </w:t>
      </w:r>
      <w:r w:rsidRPr="00F80B92">
        <w:rPr>
          <w:i/>
        </w:rPr>
        <w:t>Analýzu prokazování původu majetku a možnosti jeho odčerpávání</w:t>
      </w:r>
      <w:r w:rsidR="00D57B92">
        <w:t xml:space="preserve"> (k obsahu Analýzy viz výše).</w:t>
      </w:r>
      <w:r w:rsidR="00FF568E">
        <w:t xml:space="preserve"> </w:t>
      </w:r>
      <w:r>
        <w:t>Při</w:t>
      </w:r>
      <w:r w:rsidR="00D57B92">
        <w:t> </w:t>
      </w:r>
      <w:r>
        <w:t xml:space="preserve">projednání analýzy vládou vyšlo najevo, že pozornost by neměla být směřována na odčerpání nelegálně nabytého majetku, ale na efektivnější zdanění nepřiznaných příjmů. </w:t>
      </w:r>
      <w:r w:rsidR="008B565F">
        <w:t>Samotný mechanismus zdanění by měl vycházet ze stávajících nástrojů daňového práva (zejm. ze stanovení daně podle pomůcek)</w:t>
      </w:r>
      <w:r w:rsidR="006A6DCE">
        <w:t>, které by měly být upraveny takovým způsobem, aby bylo zajištěno jejich efektivnější využívání v praxi.</w:t>
      </w:r>
    </w:p>
    <w:p w:rsidR="007A537D" w:rsidRPr="004A6859" w:rsidRDefault="00F50068" w:rsidP="00A7488B">
      <w:pPr>
        <w:spacing w:after="60"/>
        <w:rPr>
          <w:i/>
        </w:rPr>
      </w:pPr>
      <w:r>
        <w:t xml:space="preserve">Vzhledem k tomu, že zásadní </w:t>
      </w:r>
      <w:r w:rsidR="00D57B92">
        <w:t>věcné</w:t>
      </w:r>
      <w:r>
        <w:t xml:space="preserve"> otázky</w:t>
      </w:r>
      <w:r w:rsidR="00D57B92">
        <w:t xml:space="preserve"> nastavení koncepce prokazování původu majetku</w:t>
      </w:r>
      <w:r>
        <w:t xml:space="preserve"> byly vládou již rozhodnuty</w:t>
      </w:r>
      <w:r w:rsidR="00D57B92">
        <w:t>, soustředila se analýza RIA pouze na další dílčí témata, která bylo nutné při přípravě právní úpravy věcně posoudit. Jako</w:t>
      </w:r>
      <w:r w:rsidR="008D0398">
        <w:t xml:space="preserve"> </w:t>
      </w:r>
      <w:r w:rsidR="0020549C">
        <w:t xml:space="preserve">stěžejní a </w:t>
      </w:r>
      <w:r w:rsidR="00D57B92">
        <w:t xml:space="preserve">významné téma </w:t>
      </w:r>
      <w:r w:rsidR="008D0398">
        <w:t xml:space="preserve">pro </w:t>
      </w:r>
      <w:r w:rsidR="0020549C">
        <w:t>volbu věcného</w:t>
      </w:r>
      <w:r w:rsidR="008D0398">
        <w:t xml:space="preserve"> řešení</w:t>
      </w:r>
      <w:r w:rsidR="00D57B92">
        <w:t xml:space="preserve"> byla posuzována otázka </w:t>
      </w:r>
      <w:r w:rsidR="007A537D" w:rsidRPr="004A6859">
        <w:t>okruh</w:t>
      </w:r>
      <w:r w:rsidR="00D57B92">
        <w:t>u</w:t>
      </w:r>
      <w:r w:rsidR="007A537D" w:rsidRPr="004A6859">
        <w:t xml:space="preserve"> daňových subjektů, na něž se bude navrhovaná právní úprava vztahovat</w:t>
      </w:r>
      <w:r w:rsidR="007A537D" w:rsidRPr="004A6859">
        <w:rPr>
          <w:i/>
        </w:rPr>
        <w:t>,</w:t>
      </w:r>
    </w:p>
    <w:p w:rsidR="007A537D" w:rsidRPr="004A6859" w:rsidRDefault="007A537D" w:rsidP="007A537D">
      <w:pPr>
        <w:pStyle w:val="text"/>
        <w:spacing w:before="60" w:after="60"/>
        <w:ind w:firstLine="0"/>
      </w:pPr>
      <w:r w:rsidRPr="004A6859">
        <w:t xml:space="preserve">Zásadními kritérii, která </w:t>
      </w:r>
      <w:r w:rsidR="004A6859" w:rsidRPr="004A6859">
        <w:t>byl</w:t>
      </w:r>
      <w:r w:rsidR="004A6859">
        <w:t>o</w:t>
      </w:r>
      <w:r w:rsidR="004A6859" w:rsidRPr="004A6859">
        <w:t xml:space="preserve"> </w:t>
      </w:r>
      <w:r w:rsidRPr="004A6859">
        <w:t xml:space="preserve">třeba </w:t>
      </w:r>
      <w:r w:rsidR="004A6859" w:rsidRPr="004A6859">
        <w:t xml:space="preserve">zohlednit </w:t>
      </w:r>
      <w:r w:rsidRPr="004A6859">
        <w:t>v</w:t>
      </w:r>
      <w:r w:rsidR="004A6859">
        <w:t> rámci tvorby právní úpravy a</w:t>
      </w:r>
      <w:r w:rsidR="004A6859" w:rsidRPr="004A6859">
        <w:t xml:space="preserve"> </w:t>
      </w:r>
      <w:r w:rsidRPr="004A6859">
        <w:t>rozhodování</w:t>
      </w:r>
      <w:r w:rsidR="004A6859">
        <w:t>, která z možných variant je nejlepší</w:t>
      </w:r>
      <w:r w:rsidRPr="004A6859">
        <w:t xml:space="preserve">, byly zvláště riziko nesouladu s ústavním pořádkem, administrativní zátěž poplatníků a správců daně, vliv na veřejné rozpočty a finanční dopad na </w:t>
      </w:r>
      <w:r w:rsidR="004A6859">
        <w:t xml:space="preserve">daňové </w:t>
      </w:r>
      <w:r w:rsidRPr="004A6859">
        <w:t xml:space="preserve">subjekty, naplnění </w:t>
      </w:r>
      <w:r w:rsidR="004A6859">
        <w:t xml:space="preserve">základního </w:t>
      </w:r>
      <w:r w:rsidRPr="004A6859">
        <w:t xml:space="preserve">cíle správy daně a zahraniční zkušenosti. Za účelem zajištění mezinárodního srovnání byla vypracována analýza evropských úprav </w:t>
      </w:r>
      <w:r w:rsidR="00857BAF">
        <w:t>prokazování příjmů</w:t>
      </w:r>
      <w:r w:rsidRPr="004A6859">
        <w:t>, která je přílohou důvodové zprávy.</w:t>
      </w:r>
    </w:p>
    <w:p w:rsidR="007A537D" w:rsidRPr="00413DCA" w:rsidRDefault="007A537D" w:rsidP="00AB0949">
      <w:pPr>
        <w:pStyle w:val="text"/>
        <w:ind w:firstLine="0"/>
      </w:pPr>
      <w:r w:rsidRPr="00413DCA">
        <w:t>Okruh daňových subjektů</w:t>
      </w:r>
      <w:r w:rsidR="00413DCA" w:rsidRPr="00413DCA">
        <w:t>:</w:t>
      </w:r>
    </w:p>
    <w:p w:rsidR="007A537D" w:rsidRPr="004A6859" w:rsidRDefault="007A537D" w:rsidP="007A537D">
      <w:pPr>
        <w:spacing w:after="60"/>
      </w:pPr>
      <w:r w:rsidRPr="004A6859">
        <w:t xml:space="preserve">Stanovení daně na základě pomůcek zvláštním způsobem bylo vyhodnoceno jako nevhodnější daňový nástroj k dosažení stanoveného cíle. Jedním z problémů, u kterých je nutné nalézt </w:t>
      </w:r>
      <w:r w:rsidRPr="004A6859">
        <w:lastRenderedPageBreak/>
        <w:t>vhodné řešení, je určení okruhu daňových subjektů, na něž se bude navrhovaná právní úprava vztahovat.</w:t>
      </w:r>
    </w:p>
    <w:p w:rsidR="0044242B" w:rsidRDefault="00A7488B" w:rsidP="0044242B">
      <w:pPr>
        <w:spacing w:after="60"/>
      </w:pPr>
      <w:r>
        <w:t>V úvahu připadají tři varianty řešení, a sice</w:t>
      </w:r>
      <w:r w:rsidR="007A537D" w:rsidRPr="004A6859">
        <w:t xml:space="preserve"> že daná úprava bude dopad</w:t>
      </w:r>
      <w:r w:rsidR="00C23C31">
        <w:t>at</w:t>
      </w:r>
      <w:r w:rsidR="007A537D" w:rsidRPr="004A6859">
        <w:t xml:space="preserve"> pouze na</w:t>
      </w:r>
      <w:r w:rsidR="00CA62A1">
        <w:t> </w:t>
      </w:r>
      <w:r w:rsidR="00C23C31">
        <w:t>(i)</w:t>
      </w:r>
      <w:r>
        <w:t> </w:t>
      </w:r>
      <w:r w:rsidR="00C23C31" w:rsidRPr="004A6859">
        <w:t>poplatníky daně z příjmů fyzických osob</w:t>
      </w:r>
      <w:r w:rsidR="00C23C31">
        <w:t xml:space="preserve">, pouze na (ii) poplatníky daně z příjmů právnických osob nebo na </w:t>
      </w:r>
      <w:r w:rsidR="00EE393B">
        <w:t xml:space="preserve">(iii) </w:t>
      </w:r>
      <w:r w:rsidR="00C23C31">
        <w:t>oba okruhy poplatníků</w:t>
      </w:r>
      <w:r w:rsidR="00AB0949">
        <w:t>.</w:t>
      </w:r>
      <w:r w:rsidR="007A537D" w:rsidRPr="004A6859">
        <w:t xml:space="preserve"> Na základě vzájemného porovnání jednotlivých variant optikou zvolených kritérií, vyplynula jako nejvhodnější varianta</w:t>
      </w:r>
      <w:r w:rsidR="006452A8">
        <w:t xml:space="preserve"> ta</w:t>
      </w:r>
      <w:r>
        <w:t xml:space="preserve">, kdy právní úprava </w:t>
      </w:r>
      <w:r w:rsidR="007A537D" w:rsidRPr="004A6859">
        <w:t xml:space="preserve">bude dopadat na poplatníky </w:t>
      </w:r>
      <w:r w:rsidR="00EE393B">
        <w:t>daně z příjmů fyzických osob a poplatníky daně z příjmů právnických osob, a to</w:t>
      </w:r>
      <w:r w:rsidR="007A537D" w:rsidRPr="004A6859">
        <w:t xml:space="preserve"> zejména s ohledem na nejnižší riziko nesouladu s ústavním pořádkem. Zohledněna byla i skutečnost, že pokud by navrhovaná úprava nedopadala na poplatník</w:t>
      </w:r>
      <w:r>
        <w:t>y</w:t>
      </w:r>
      <w:r w:rsidR="007A537D" w:rsidRPr="004A6859">
        <w:t xml:space="preserve"> daně z příjmů právnických osob, mohlo by docházet k</w:t>
      </w:r>
      <w:r w:rsidR="00AB0949">
        <w:t> </w:t>
      </w:r>
      <w:r w:rsidR="007A537D" w:rsidRPr="004A6859">
        <w:t>vyhýbání se daňovým povinnostem v souvislosti s prokazováním příjmů skrze právnické osoby</w:t>
      </w:r>
      <w:r>
        <w:t>, svěřenské fondy či</w:t>
      </w:r>
      <w:r w:rsidR="00CA62A1">
        <w:t> </w:t>
      </w:r>
      <w:r>
        <w:t>jiné jednotky</w:t>
      </w:r>
      <w:r w:rsidR="007A537D" w:rsidRPr="004A6859">
        <w:t>.</w:t>
      </w:r>
    </w:p>
    <w:p w:rsidR="0044242B" w:rsidRDefault="0044242B" w:rsidP="00AB0949">
      <w:r>
        <w:br w:type="page"/>
      </w:r>
    </w:p>
    <w:p w:rsidR="00B85A1E" w:rsidRDefault="00B85A1E" w:rsidP="00B85A1E">
      <w:pPr>
        <w:pStyle w:val="Nadpis2"/>
        <w:numPr>
          <w:ilvl w:val="0"/>
          <w:numId w:val="0"/>
        </w:numPr>
      </w:pPr>
      <w:r w:rsidRPr="009074F7">
        <w:lastRenderedPageBreak/>
        <w:t>II. Zvláštní část</w:t>
      </w:r>
    </w:p>
    <w:p w:rsidR="00B85A1E" w:rsidRPr="00B85A1E" w:rsidRDefault="00B85A1E" w:rsidP="00B85A1E">
      <w:pPr>
        <w:pStyle w:val="Dvodovzprva"/>
        <w:rPr>
          <w:rFonts w:ascii="Times New Roman" w:hAnsi="Times New Roman"/>
          <w:b/>
          <w:color w:val="auto"/>
          <w:sz w:val="28"/>
          <w:szCs w:val="24"/>
        </w:rPr>
      </w:pPr>
      <w:r w:rsidRPr="00B85A1E">
        <w:rPr>
          <w:rFonts w:ascii="Times New Roman" w:hAnsi="Times New Roman"/>
          <w:b/>
          <w:color w:val="auto"/>
          <w:sz w:val="28"/>
          <w:szCs w:val="24"/>
        </w:rPr>
        <w:t>K části první - změna zákona o daních z příjmů</w:t>
      </w:r>
    </w:p>
    <w:p w:rsidR="00B85A1E" w:rsidRPr="00B85A1E" w:rsidRDefault="00B85A1E" w:rsidP="00B85A1E">
      <w:pPr>
        <w:pStyle w:val="Dvodovzprva"/>
        <w:widowControl w:val="0"/>
        <w:rPr>
          <w:rFonts w:ascii="Times New Roman" w:hAnsi="Times New Roman"/>
          <w:b/>
          <w:color w:val="auto"/>
          <w:sz w:val="28"/>
          <w:szCs w:val="24"/>
        </w:rPr>
      </w:pPr>
      <w:r w:rsidRPr="00B85A1E">
        <w:rPr>
          <w:rFonts w:ascii="Times New Roman" w:hAnsi="Times New Roman"/>
          <w:b/>
          <w:color w:val="auto"/>
          <w:sz w:val="28"/>
          <w:szCs w:val="24"/>
        </w:rPr>
        <w:t>K čl. I</w:t>
      </w:r>
    </w:p>
    <w:p w:rsidR="00B85A1E" w:rsidRPr="00B85A1E" w:rsidRDefault="00B85A1E" w:rsidP="00B85A1E">
      <w:pPr>
        <w:pStyle w:val="Dvodovzprva"/>
        <w:rPr>
          <w:rFonts w:ascii="Times New Roman" w:hAnsi="Times New Roman"/>
          <w:b/>
          <w:bCs/>
          <w:color w:val="auto"/>
          <w:szCs w:val="24"/>
        </w:rPr>
      </w:pPr>
      <w:r w:rsidRPr="00B85A1E">
        <w:rPr>
          <w:rFonts w:ascii="Times New Roman" w:hAnsi="Times New Roman"/>
          <w:b/>
          <w:bCs/>
          <w:color w:val="auto"/>
          <w:szCs w:val="24"/>
        </w:rPr>
        <w:t>K § 38x až § 38ze</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 38x</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Jde o první ze série ustanovení, která upravují problematiku prokazování příjmů (§ 38x až § 38z). Na ně pak navazují ustanovení upravující problematiku zvláštních pomůcek (§ 38za a</w:t>
      </w:r>
      <w:r w:rsidR="0011253D">
        <w:rPr>
          <w:rFonts w:ascii="Times New Roman" w:hAnsi="Times New Roman"/>
          <w:color w:val="auto"/>
          <w:szCs w:val="24"/>
        </w:rPr>
        <w:t> </w:t>
      </w:r>
      <w:r w:rsidRPr="000E1DB7">
        <w:rPr>
          <w:rFonts w:ascii="Times New Roman" w:hAnsi="Times New Roman"/>
          <w:color w:val="auto"/>
          <w:szCs w:val="24"/>
        </w:rPr>
        <w:t>§ 38zb) a prohlášení o majetku (§ 38zc až § 38ze). V tomto ustanovení jsou zakotveny podmínky pro použití instrumentu výzvy k prokázání příjmů a její základní náležitosti.</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Účinnost zákona je navrhována k 1. lednu 2016. Tento termín navazuje na to, že k posouzení</w:t>
      </w:r>
      <w:r w:rsidRPr="000E1DB7">
        <w:rPr>
          <w:rFonts w:ascii="Times New Roman" w:hAnsi="Times New Roman"/>
          <w:i/>
          <w:color w:val="auto"/>
          <w:szCs w:val="24"/>
        </w:rPr>
        <w:t xml:space="preserve"> Analýzy prokazování původu majetku a možnosti jeho odčerpávání </w:t>
      </w:r>
      <w:r w:rsidRPr="000E1DB7">
        <w:rPr>
          <w:rFonts w:ascii="Times New Roman" w:hAnsi="Times New Roman"/>
          <w:color w:val="auto"/>
          <w:szCs w:val="24"/>
        </w:rPr>
        <w:t>ze strany vlády došlo v srpnu 2014 s tím, že bylo shledáno, že daňové mechanismy nemohou svou povahou sloužit k přímé konfiskaci či odčerpání nelegálního majetku (příjmů), a je tak nutné soustředit pozornost na efektivní vysledování a dodanění příjmů zatajovaných (nezdaněných). V důsledku toho započetí prací na novelizaci zákona o daních z příjmů odpovídající tomuto zadání začalo v srpnu 2014, což znamená, že standardní legislativní proces nebylo lze ukončit tak, aby zákon mohl nabýt účinnosti k 1. lednu 2015. Jako další vhodný termín se tak jeví začátek následujícího zdaňovacího období (v případě daně z příjmů je standardním zdaňovacím obdobím kalendářní rok), tj. 1. leden 2016. Ačkoli navrhovaná opatření mají převážně procesní charakter, jeví se jako žádoucí a z hlediska právní jistoty adresátů srozumitelnější nezavádět je v průběhu zdaňovacího období.</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1:</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Naplnění podmínek podle odstavce 1 aktivuje mechanismus prokazování příjmů. Předpokladem aktivace je existence důvodných pochybností správce daně o disproporci mezi poplatníkem (či plátcem nebo jinou osobou) tvrzenými nebo oznámenými (viz oznamování osvobozených příjmů dle § 38v) příjmy poplatníka a tím, jaké jsou jeho faktické příjmy, resp. „ekonomické statky“. Po materiální stránce však správce daně nebere v potaz jen příjmy oznámené nebo tvrzené správci daně, ale rovněž všechny další skutečnosti, které jsou mu známy a které mohou ozřejmit nárůst jmění.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je například povinen zohlednit příjem, který zjistil v rámci řízení o stanovení daně (i když ho poplatník netvrdil ani neoznamoval). Správce daně je povinen zohlednit pouze ty skutečnosti, které zná (jsou mu dostupné na základě standardních informačních zdrojů, které běžně využívá), tj. nelze požadovat, aby zohlednil informaci, která mu známa není (byť by si ji na základě některých svých procesních prostředků mohl teoreticky obstarat). O těchto skutečnostech se může dozvědět z předchozí interakce se samotným poplatníkem (např. v rámci daňové kontroly).</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Současně musí být naplněna podmínka, že disproporce mezi oznámenými nebo tvrzenými příjmy a nárůstem jmění poplatníka na základě předběžného posouzení ze strany správce daně dosahuje určité částky. Užití daného mechanismu je tak vázáno nejen na samotný rozdíl, ale též jeho výši (měřeno absolutně). Jeho hodnota je navržena ve výši 5 mil. Kč. Nepoměr mezi příjmy a nárůstem jmění poplatníka by měl být být současně zcela evidentní, aniž by správce daně musel přistoupit k jejich ocenění (výši určí odhadem). Důvodem pro zavedení takového limitu je, aby daný nástroj byl správcem daně využíván pouze v případech rizika větších daňových úniků, což odpovídá i nutnému kapacitnímu zatížení správce daně, které by mělo být využito maximálně efektivním způsobem. Limit je však klíčový i z hlediska právní jistoty </w:t>
      </w:r>
      <w:r w:rsidRPr="000E1DB7">
        <w:rPr>
          <w:rFonts w:ascii="Times New Roman" w:hAnsi="Times New Roman"/>
          <w:color w:val="auto"/>
          <w:szCs w:val="24"/>
        </w:rPr>
        <w:lastRenderedPageBreak/>
        <w:t>a předvídatelnosti práva samotných poplatníků, kteří tak mohou dopředu posoudit, zda se jich tento nástroj může dotknout, či nikoli.</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Od ekonomického statku je třeba odlišit statek „</w:t>
      </w:r>
      <w:r w:rsidRPr="000E1DB7">
        <w:rPr>
          <w:rFonts w:ascii="Times New Roman" w:hAnsi="Times New Roman"/>
          <w:i/>
          <w:color w:val="auto"/>
          <w:szCs w:val="24"/>
        </w:rPr>
        <w:t>neekonomický</w:t>
      </w:r>
      <w:r w:rsidRPr="000E1DB7">
        <w:rPr>
          <w:rFonts w:ascii="Times New Roman" w:hAnsi="Times New Roman"/>
          <w:color w:val="auto"/>
          <w:szCs w:val="24"/>
        </w:rPr>
        <w:t>“, kterým je např. láska bližního, pocit z dobře odvedené práce, štěstí jedince a další obdobné statky. Statky tohoto charakteru nejsou zohledňovány ani ve výši daně (je od nich abstrahováno, resp. jsou zohledňovány pouze skrze statky ekonomické). Z tohoto důvodu ustanovení cílí pouze na statky ekonomické, které jsou v ustanovení vyjádřeny jměním poplatníka.</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Jmění je definováno občanským zákoníkem (§ 495) a reprezentuje jak složku aktiv (tj.</w:t>
      </w:r>
      <w:r w:rsidR="0011253D">
        <w:rPr>
          <w:rFonts w:ascii="Times New Roman" w:hAnsi="Times New Roman"/>
          <w:color w:val="auto"/>
          <w:szCs w:val="24"/>
        </w:rPr>
        <w:t> </w:t>
      </w:r>
      <w:r w:rsidRPr="000E1DB7">
        <w:rPr>
          <w:rFonts w:ascii="Times New Roman" w:hAnsi="Times New Roman"/>
          <w:color w:val="auto"/>
          <w:szCs w:val="24"/>
        </w:rPr>
        <w:t>majetek), tak složku pasiv (tj. dluhy). Spojení „</w:t>
      </w:r>
      <w:r w:rsidRPr="000E1DB7">
        <w:rPr>
          <w:rFonts w:ascii="Times New Roman" w:hAnsi="Times New Roman"/>
          <w:i/>
          <w:color w:val="auto"/>
          <w:szCs w:val="24"/>
        </w:rPr>
        <w:t>nárůst jmění</w:t>
      </w:r>
      <w:r w:rsidRPr="000E1DB7">
        <w:rPr>
          <w:rFonts w:ascii="Times New Roman" w:hAnsi="Times New Roman"/>
          <w:color w:val="auto"/>
          <w:szCs w:val="24"/>
        </w:rPr>
        <w:t>“ zahrnuje jakýkoliv tok jmění, a to jak případ, kdy někdo poskytuje věc jinému (např. dar, výhodná koupě, úplatek), který se projeví kladným dopadem do majetku (tj. do kladné složky jmění), tak zároveň i</w:t>
      </w:r>
      <w:r w:rsidR="0011253D">
        <w:rPr>
          <w:rFonts w:ascii="Times New Roman" w:hAnsi="Times New Roman"/>
          <w:color w:val="auto"/>
          <w:szCs w:val="24"/>
        </w:rPr>
        <w:t> </w:t>
      </w:r>
      <w:r w:rsidRPr="000E1DB7">
        <w:rPr>
          <w:rFonts w:ascii="Times New Roman" w:hAnsi="Times New Roman"/>
          <w:color w:val="auto"/>
          <w:szCs w:val="24"/>
        </w:rPr>
        <w:t>případy, kdy se snižuje povinnost poplatníka (taktéž možný motiv korupčního jednání), který se projeví záporným dopadem do výše dluhu (tj. kladným dopadem do jmění). Ukazatel jmění sleduje zejména materiální vyžití poplatníka. Jelikož příjem se projevu zvýšením jmění, kategorii, kterou správce daně ve vztahu k příjmům posuzuje, je jmění, nikoli majetek.</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Pochybnosti správce daně ohledně rozdílu mezi skutečnostmi poplatníkem deklarovanými a</w:t>
      </w:r>
      <w:r w:rsidR="0011253D">
        <w:rPr>
          <w:rFonts w:ascii="Times New Roman" w:hAnsi="Times New Roman"/>
          <w:color w:val="auto"/>
          <w:szCs w:val="24"/>
        </w:rPr>
        <w:t> </w:t>
      </w:r>
      <w:r w:rsidRPr="000E1DB7">
        <w:rPr>
          <w:rFonts w:ascii="Times New Roman" w:hAnsi="Times New Roman"/>
          <w:color w:val="auto"/>
          <w:szCs w:val="24"/>
        </w:rPr>
        <w:t>faktickým stavem mohou vyvstat na základě informací, indicií nebo domněnek, které nemusí mít sílu důkazních prostředků, resp. důkazů, ve formálním smyslu (správce daně může například vyjít z informace, že vůči poplatníkovi bylo zahájeno trestní stíhání ve věci daňového trestného činu nebo i jiného trestného činu, typicky krádeže nebo zpronevěry). Zároveň však tyto informace musí být natolik konkrétní, věrohodné a přesvědčivé, že mohou založit důvodné podezření správce daně o tom, že podmínky pro výzvu byly naplněny. Toto</w:t>
      </w:r>
      <w:r w:rsidR="0011253D">
        <w:rPr>
          <w:rFonts w:ascii="Times New Roman" w:hAnsi="Times New Roman"/>
          <w:color w:val="auto"/>
          <w:szCs w:val="24"/>
        </w:rPr>
        <w:t> </w:t>
      </w:r>
      <w:r w:rsidRPr="000E1DB7">
        <w:rPr>
          <w:rFonts w:ascii="Times New Roman" w:hAnsi="Times New Roman"/>
          <w:color w:val="auto"/>
          <w:szCs w:val="24"/>
        </w:rPr>
        <w:t>kritérium má praktický odraz v povinnosti správce daně uvést své pochybnosti do výzvy k</w:t>
      </w:r>
      <w:r w:rsidR="0011253D">
        <w:rPr>
          <w:rFonts w:ascii="Times New Roman" w:hAnsi="Times New Roman"/>
          <w:color w:val="auto"/>
          <w:szCs w:val="24"/>
        </w:rPr>
        <w:t> </w:t>
      </w:r>
      <w:r w:rsidRPr="000E1DB7">
        <w:rPr>
          <w:rFonts w:ascii="Times New Roman" w:hAnsi="Times New Roman"/>
          <w:color w:val="auto"/>
          <w:szCs w:val="24"/>
        </w:rPr>
        <w:t>prokázání příjmů takovým způsobem, aby se k nim poplatník mohl vyjádřit a předložit důkazy k jejich vyvrácení (viz odstavec 2).</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Pochybnosti správce daně mohou vzniknout na základě podání daňového subjektu (typicky daňového přiznání nebo dodatečného daňového přiznání), na základě zjištění učiněných v rámci daňového řízení (typicky vyměřovacího nebo doměřovacího řízení), v rámci jiného postupu jako je daňová kontrola nebo postup k odstranění pochybností či v rámci obecně vedené vyhledávací činnosti. Výzva sama o sobě není podkladem pro vznik pochybností, ty</w:t>
      </w:r>
      <w:r w:rsidR="0011253D">
        <w:rPr>
          <w:rFonts w:ascii="Times New Roman" w:hAnsi="Times New Roman"/>
          <w:color w:val="auto"/>
          <w:szCs w:val="24"/>
        </w:rPr>
        <w:t> </w:t>
      </w:r>
      <w:r w:rsidRPr="000E1DB7">
        <w:rPr>
          <w:rFonts w:ascii="Times New Roman" w:hAnsi="Times New Roman"/>
          <w:color w:val="auto"/>
          <w:szCs w:val="24"/>
        </w:rPr>
        <w:t>nastávají před jejím vydáním na základě činnosti správce daně.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Pod pojmem vznik příjmů je třeba rozumět jakékoli vytvoření příjmů poplatníka. Při tom nehraje roli, zda příjem plyne z činnosti (samostatné či jiné jako je například chov včel podle § 10 zákona o daních z příjmů), plyne od plátce příjmů či z jiného zdroje nebo zda je plátcem příjmů vyplácen. Původem příjmů se rozumí další podmínky vzniku příjmů jako je okamžik vzniku příjmu nebo jeho zdroj (myšleno v obecném významu tohoto slova, nikoli ve smyslu §</w:t>
      </w:r>
      <w:r w:rsidR="0011253D">
        <w:rPr>
          <w:rFonts w:ascii="Times New Roman" w:hAnsi="Times New Roman"/>
          <w:color w:val="auto"/>
          <w:szCs w:val="24"/>
        </w:rPr>
        <w:t> </w:t>
      </w:r>
      <w:r w:rsidRPr="000E1DB7">
        <w:rPr>
          <w:rFonts w:ascii="Times New Roman" w:hAnsi="Times New Roman"/>
          <w:color w:val="auto"/>
          <w:szCs w:val="24"/>
        </w:rPr>
        <w:t>22 zákona o daních z příjmů). V rámci posouzení míry krytí nárůstu jmění poplatníka z jím deklarovaných příjmů vezme správce daně v úvahu skutečnosti, které nutně nemusí být příjmy a které souvisejí s nárůstem jmění poplatníka (postavení domu svépomocí, vypěstované plody či vznik nebo rozšíření společného jmění manželů).</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Správce daně vychází při své úvaze z příjmů, které mu byly oznámeny nebo tvrzeny poplatníkem, jeho plátcem daně nebo jinou osobou zúčastněnou na správě daní. Ačkoli plátce daně podle platné právní úpravy tvrdí správci daně údaje za všechny své poplatníky v souhrnu, individualizované údaje za jednotlivé poplatníky je správce daně schopen zjistit v rámci místního šetření nebo daňové kontroly u plátce daně. Nemusí jít pouze o příjmy deklarované v daňovém přiznání, přestože ty budou tvořit majoritní část posuzovaných </w:t>
      </w:r>
      <w:r w:rsidRPr="000E1DB7">
        <w:rPr>
          <w:rFonts w:ascii="Times New Roman" w:hAnsi="Times New Roman"/>
          <w:color w:val="auto"/>
          <w:szCs w:val="24"/>
        </w:rPr>
        <w:lastRenderedPageBreak/>
        <w:t>příjmů, ale správce daně vezme v úvahu též příjmy, které byly poplatníkem fyzickou osobou oznámeny v rámci oznámení o osvobozených příjmech podle § 38v zákona o daních z příjmů.</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Aby bylo možné vytvořit reálný obraz o tom, zda příjmy poplatníka odpovídají nárůstu jeho jmění, bude zapotřebí poplatníka posuzovat kontinuálně v delším časovém úseku a s ohledem na všechny skutečnosti, které by mohly mít vliv na stav jeho jmění. Správce daně bude nucen vzít vždy do úvahy skutečnost, zda příjmy poplatníka zvyšují jeho výlučné jmění nebo zda spadají do společného jmění manželů (příp. jaké má toto společné jmění manželů režim). Časový úsek, který bude podléhat prokazování příjmů, může přesahovat délku zdaňovacího období a nemusí se nutně se zdaňovacím obdobím shodovat. Časový úsek vymezí správce daně ve výzvě.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může výzvu k prokázání příjmů vydat v rámci (i) již probíhajícího postupu k odstranění pochybností (§ 89 a 90 daňového řádu), (ii) daňové kontroly (§ 85 a následující daňového řádu) nebo (iii) samostatně na podkladě jiných svých postupů nebo neformalizovaných zjištění. V posledním zmíněném případě může být výzva prvním úkonem ve věci, který zahájí řízení ve smyslu § 91 daňového řádu (ve znění účinném od 1. ledna 2015).</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Výzva k prokázání příjmů je nezávislá na výzvě k podání prohlášení o majetku podle § 38zc zákona o daních z příjmů. Naopak k tomu, aby mohl správce daně poplatníka vyzvat k podání prohlášení o majetku, musí nejprve dojít k vydání výzvy k prokázání příjmů a následnému neprokázání požadovaných skutečností. Tento subsidiární vztah obou výzev odpovídá požadavkům zásady přiměřenosti (§ 5 odst. 3 daňového řádu).</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Výzva k prokázání příjmů je rozhodnutím ve smyslu § 101 a následující daňového řádu. Musí proto obsahovat obecné náležitosti rozhodnutí spolu s údaji vyžadovanými v odstavci 3 a 4. Není vyloučeno použití § 61 daňového řádu, které umožňuje rozhodnutí (tedy i výzvu) vyhlásit při jednání s poplatníkem, o němž se sepisuje protokol. V případě výzvy k prokázání příjmů se uplatní obecné pravidlo zakotvené v § 109 odst. 2 daňového řádu, podle něhož se proti výzvě nelze samostatně odvolat. Výzvu správce daně poplatníkovi doručuje postupem podle § 39 a následující daňového řádu.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K tomu, aby správce daně vydal výzvu k prokázání příjmů, nemusí disponovat informacemi, které mají sílu důkazů. K vydání výzvy postačí indicie a informace vyvolávající na straně správce daně důvodné pochybnosti, že byla naplněna některá z podmínek uvedených v</w:t>
      </w:r>
      <w:r w:rsidR="0011253D">
        <w:rPr>
          <w:rFonts w:ascii="Times New Roman" w:hAnsi="Times New Roman"/>
          <w:color w:val="auto"/>
          <w:szCs w:val="24"/>
        </w:rPr>
        <w:t> </w:t>
      </w:r>
      <w:r w:rsidRPr="000E1DB7">
        <w:rPr>
          <w:rFonts w:ascii="Times New Roman" w:hAnsi="Times New Roman"/>
          <w:color w:val="auto"/>
          <w:szCs w:val="24"/>
        </w:rPr>
        <w:t>odstavci 1 (například indicie, že si poplatník v daném období pořídil majetek z neznámých příjmů). Pochybnosti na straně správce daně však musí být alespoň tak konkrétní, že umožní správci daně uvést je do výzvy k prokázání příjmů takovým způsobem, aby se poplatník k</w:t>
      </w:r>
      <w:r w:rsidR="0011253D">
        <w:rPr>
          <w:rFonts w:ascii="Times New Roman" w:hAnsi="Times New Roman"/>
          <w:color w:val="auto"/>
          <w:szCs w:val="24"/>
        </w:rPr>
        <w:t> </w:t>
      </w:r>
      <w:r w:rsidRPr="000E1DB7">
        <w:rPr>
          <w:rFonts w:ascii="Times New Roman" w:hAnsi="Times New Roman"/>
          <w:color w:val="auto"/>
          <w:szCs w:val="24"/>
        </w:rPr>
        <w:t>nim mohl vyjádřit a předložit důkazy, potřebné k vyvrácení pochybností správce daně. Pokud správce daně nebude schopen konkrétní pochybnosti do výzvy uvést, výzvu nebude možné vydat. Je zde využita obdobná konstrukce jako v případě § 89 odst. 2 daňového řádu, který upravuje obsahové náležitosti výzvy k odstranění pochybností.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Při formulování výzvy by měl správce daně respektovat cíl, ke kterému výzva směřuje, a</w:t>
      </w:r>
      <w:r w:rsidR="0011253D">
        <w:rPr>
          <w:rFonts w:ascii="Times New Roman" w:hAnsi="Times New Roman"/>
          <w:color w:val="auto"/>
          <w:szCs w:val="24"/>
        </w:rPr>
        <w:t> </w:t>
      </w:r>
      <w:r w:rsidRPr="000E1DB7">
        <w:rPr>
          <w:rFonts w:ascii="Times New Roman" w:hAnsi="Times New Roman"/>
          <w:color w:val="auto"/>
          <w:szCs w:val="24"/>
        </w:rPr>
        <w:t>který je vymezen v odstavci 1, a sice že poplatník je povinen prokázat vznik svých příjmů a</w:t>
      </w:r>
      <w:r w:rsidR="0011253D">
        <w:rPr>
          <w:rFonts w:ascii="Times New Roman" w:hAnsi="Times New Roman"/>
          <w:color w:val="auto"/>
          <w:szCs w:val="24"/>
        </w:rPr>
        <w:t> </w:t>
      </w:r>
      <w:r w:rsidRPr="000E1DB7">
        <w:rPr>
          <w:rFonts w:ascii="Times New Roman" w:hAnsi="Times New Roman"/>
          <w:color w:val="auto"/>
          <w:szCs w:val="24"/>
        </w:rPr>
        <w:t xml:space="preserve">jejich původ a další skutečnosti související s nárůstem jmění. Mezi skutečnosti, které budou správce daně při formulování výzvy především zajímat, patří, zda příjem, o jehož existenci má správce daně pochybnosti, vznikl či nikoli a pokud vznikl, za jakých podmínek se tak stalo (v jakém čase, z jakého zdroje, apod.). Dalšími skutečnostmi, které souvisejí s nárůstem jmění poplatníka, jsou skutečnosti odlišné od vzniku a původu příjmů, které však mají také vliv na nárůst jmění poplatníka jako například nález velmi cenného originálu obrazu na půdě domu, </w:t>
      </w:r>
      <w:r w:rsidRPr="000E1DB7">
        <w:rPr>
          <w:rFonts w:ascii="Times New Roman" w:hAnsi="Times New Roman"/>
          <w:color w:val="auto"/>
          <w:szCs w:val="24"/>
        </w:rPr>
        <w:lastRenderedPageBreak/>
        <w:t>který poplatník v minulosti zdědil, vstup do manželství s výrazně movitějším poplatníkem, osvojení movitého poplatníka, nebo je-li sám poplatník movitou osobou osvojen. Vznik a</w:t>
      </w:r>
      <w:r w:rsidR="0011253D">
        <w:rPr>
          <w:rFonts w:ascii="Times New Roman" w:hAnsi="Times New Roman"/>
          <w:color w:val="auto"/>
          <w:szCs w:val="24"/>
        </w:rPr>
        <w:t> </w:t>
      </w:r>
      <w:r w:rsidRPr="000E1DB7">
        <w:rPr>
          <w:rFonts w:ascii="Times New Roman" w:hAnsi="Times New Roman"/>
          <w:color w:val="auto"/>
          <w:szCs w:val="24"/>
        </w:rPr>
        <w:t>původ příjmů a další skutečnosti související s nárůstem jmění poplatníka tvoří objektivní rámec okolností, na které správce daně může ve výzvě zacílit. Správce daně na základě svých předchozích zjištění v dané věci posoudí, o jakých skutečnostech má v daném případě pochybnosti, a tyto skutečnosti konkretizuje ve výzvě. Pokud se v průběhu prokazování příjmů objeví další pochybnosti, které správce daně ve výzvě zprvu neuvedl, může poplatníka vyzvat k jejich objasnění. K tomu mu slouží institut doplnění výzvy upravený v odstavci 4.</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ve výzvě zároveň vymezí časový úsek, za který má poplatník prokázat vznik příjmů, jejich původ a další skutečnosti související s nárůstem jmění. Správce daně je při formulaci výzvy i v rámci dalšího postupu povinen respektovat skutečnost, že čím dále do</w:t>
      </w:r>
      <w:r w:rsidR="0011253D">
        <w:rPr>
          <w:rFonts w:ascii="Times New Roman" w:hAnsi="Times New Roman"/>
          <w:color w:val="auto"/>
          <w:szCs w:val="24"/>
        </w:rPr>
        <w:t> </w:t>
      </w:r>
      <w:r w:rsidRPr="000E1DB7">
        <w:rPr>
          <w:rFonts w:ascii="Times New Roman" w:hAnsi="Times New Roman"/>
          <w:color w:val="auto"/>
          <w:szCs w:val="24"/>
        </w:rPr>
        <w:t>minulosti se poplatníka na vznik a původ příjmů a další skutečnosti dotazuje, tím slabší je poplatníkova schopnost a možnost požadované skutečnosti prokázat. Důkazní břemeno poplatníka slábne úměrně tomu, jak moc do minulosti výzva správce daně cílí. Kritérium úměrné doby se pak v praxi může u jednotlivých poplatníků lišit s ohledem na jejich povolání, funkci nebo skutečnost, že jejich plat je hrazen z veřejných rozpočtů (o delší lhůtě lze uvažovat například u osob veřejně činných). Správce daně by měl vždy respektovat zásadu proporcionality, racionality a zákazu vybočení ze svěřené pravomoci (zásada enumerativnosti veřejnoprávních pretenzí). Výslovná úprava časového úseku v zákoně se nejeví jako vhodná. Existuje důvodná obava, že by ze strany daňových subjektů docházelo k obcházení povinnosti prokázat příjmy s odvoláním na skutečnost, že vznik a původ příjmů a dalších skutečností nastal v čase, do kterého už výzva nemůže směřovat. Proto se jeví vhodnější ponechat stanovení délky časového úseku na úvaze správce daně, který při jejím stanovení zohlední okolnosti konkrétního případu při respektování základních zásad správy daní a ústavních principů.</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Při stanovení časového úseku, který vytýčí rozsah důkazního břemene poplatníka, musí</w:t>
      </w:r>
      <w:r w:rsidR="0011253D">
        <w:rPr>
          <w:rFonts w:ascii="Times New Roman" w:hAnsi="Times New Roman"/>
          <w:color w:val="auto"/>
          <w:szCs w:val="24"/>
        </w:rPr>
        <w:t> </w:t>
      </w:r>
      <w:r w:rsidRPr="000E1DB7">
        <w:rPr>
          <w:rFonts w:ascii="Times New Roman" w:hAnsi="Times New Roman"/>
          <w:color w:val="auto"/>
          <w:szCs w:val="24"/>
        </w:rPr>
        <w:t xml:space="preserve">správce daně respektovat pravidlo obsažené v odstavci 5.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Možnost správce daně doplnit výzvu podle odstavce 4 se vztahuje i na časový úsek, za který je poplatník povinen příjmy prokázat.  Správce daně jej tak v reakci na výsledky dialogu s poplatníkem může rozšířit nebo zúžit.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Vedle toho, že je správce daně povinen uvést ve výzvě své pochybnosti, může se poplatníka dotázat, jakým způsobem byl financován nárůst jeho jmění. V souladu se smyslem věty první požadující dostatečnou míru konkrétnosti, by měl toto pravidlo správce daně respektovat i</w:t>
      </w:r>
      <w:r w:rsidR="0011253D">
        <w:rPr>
          <w:rFonts w:ascii="Times New Roman" w:hAnsi="Times New Roman"/>
          <w:color w:val="auto"/>
          <w:szCs w:val="24"/>
        </w:rPr>
        <w:t> </w:t>
      </w:r>
      <w:r w:rsidRPr="000E1DB7">
        <w:rPr>
          <w:rFonts w:ascii="Times New Roman" w:hAnsi="Times New Roman"/>
          <w:color w:val="auto"/>
          <w:szCs w:val="24"/>
        </w:rPr>
        <w:t>v případě dotazu podle věty druhé. Správce daně by tak měl svůj dotaz směřovat na</w:t>
      </w:r>
      <w:r w:rsidR="0011253D">
        <w:rPr>
          <w:rFonts w:ascii="Times New Roman" w:hAnsi="Times New Roman"/>
          <w:color w:val="auto"/>
          <w:szCs w:val="24"/>
        </w:rPr>
        <w:t> </w:t>
      </w:r>
      <w:r w:rsidRPr="000E1DB7">
        <w:rPr>
          <w:rFonts w:ascii="Times New Roman" w:hAnsi="Times New Roman"/>
          <w:color w:val="auto"/>
          <w:szCs w:val="24"/>
        </w:rPr>
        <w:t xml:space="preserve">konkrétní nárůst jmění (např. pořízení určité věci, u něhož není dohledatelné financování).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Výzva může směřovat k objasnění vzniku a původu zdanitelných příjmů, příjmů, které nejsou předmětem daně, jsou od daně osvobozené apod. K posouzení toho, zda nárůst jmění v určitém období odpovídá příjmům dosaženým v tomto období je nutné komplexní posouzení příjmů. Správce daně se tak nemůže soustředit pouze na příjmy, které je poplatník povinen uvádět v daňovém přiznání, nebo které jsou obsaženy v tvrzení ze strany plátce daně. I v tomto případě se uplatní princip, že pro identifikaci zdanitelných příjmů je nutný komplexní pohled na dosažené příjmy.</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Poplatník obecně nese důkazní břemeno ohledně toho, co tvrdil, nebo tvrdit měl (srov. § 92 odst. 3 daňového řádu). Poplatníkovi, který je správcem daně vyzván k prokázání příjmů, se</w:t>
      </w:r>
      <w:r w:rsidR="0011253D">
        <w:rPr>
          <w:rFonts w:ascii="Times New Roman" w:hAnsi="Times New Roman"/>
          <w:color w:val="auto"/>
          <w:szCs w:val="24"/>
        </w:rPr>
        <w:t> </w:t>
      </w:r>
      <w:r w:rsidRPr="000E1DB7">
        <w:rPr>
          <w:rFonts w:ascii="Times New Roman" w:hAnsi="Times New Roman"/>
          <w:color w:val="auto"/>
          <w:szCs w:val="24"/>
        </w:rPr>
        <w:t>toto důkazní břemeno rozšiřuje a současně konkretizuje na prokázání skutečností požadovaných ve výzvě. Právní normou, ze které toto vyplývá, je výše zmíněný § 92 odst. 3 daňového řádu, který mimo jiné stanoví: „</w:t>
      </w:r>
      <w:r w:rsidRPr="000E1DB7">
        <w:rPr>
          <w:rFonts w:ascii="Times New Roman" w:hAnsi="Times New Roman"/>
          <w:i/>
          <w:color w:val="auto"/>
          <w:szCs w:val="24"/>
        </w:rPr>
        <w:t xml:space="preserve">Daňový subjekt prokazuje všechny skutečnosti, </w:t>
      </w:r>
      <w:r w:rsidRPr="000E1DB7">
        <w:rPr>
          <w:rFonts w:ascii="Times New Roman" w:hAnsi="Times New Roman"/>
          <w:i/>
          <w:color w:val="auto"/>
          <w:szCs w:val="24"/>
        </w:rPr>
        <w:lastRenderedPageBreak/>
        <w:t>které je povinen uvádět v … dalších podáních</w:t>
      </w:r>
      <w:r w:rsidRPr="000E1DB7">
        <w:rPr>
          <w:rFonts w:ascii="Times New Roman" w:hAnsi="Times New Roman"/>
          <w:color w:val="auto"/>
          <w:szCs w:val="24"/>
        </w:rPr>
        <w:t>.“. Za takové podání lze přitom označit reakci na výzvu k prokázání příjmů.</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Výzva k prokázání příjmů může dopadat jak na příjmy, které se povinně uvádějí v daňovém přiznání, tak na příjmy osvobozené či příjmy, které nejsou předmětem daně.  Aby daňový subjekt prokázal výši své daňové povinnosti, musí v souladu s § 92 odst. 3 daňového řádu prokázat existenci i těch skutečností, které není povinen v daňovém tvrzení uvádět (typicky těch, které výši jeho daňové povinnosti snižují, jako jsou příjmy od daně osvobozené nebo příjmy, které nejsou předmětem daně). Povinnost daňového subjektu prokázat všechny skutečnosti, které uvádí v daňovém tvrzení, implicitně zahrnuje též povinnost uvést důvody, které jej vedou k tvrzení těchto skutečností. Přestože tedy poplatník v daňovém přiznání neuvádí osvobozené příjmy, je povinen (například na základě dotazu správce daně v rámci postupu k odstranění pochybností nebo v rámci daňové kontroly) prokázat jejich existenci, jelikož pouze tak je schopen prokázat výši své daňové povinnosti. Výklad, který by dovozoval opak, by </w:t>
      </w:r>
      <w:r w:rsidRPr="000E1DB7">
        <w:rPr>
          <w:rFonts w:ascii="Times New Roman" w:hAnsi="Times New Roman"/>
          <w:i/>
          <w:color w:val="auto"/>
          <w:szCs w:val="24"/>
        </w:rPr>
        <w:t>ad absurdum</w:t>
      </w:r>
      <w:r w:rsidRPr="000E1DB7">
        <w:rPr>
          <w:rFonts w:ascii="Times New Roman" w:hAnsi="Times New Roman"/>
          <w:color w:val="auto"/>
          <w:szCs w:val="24"/>
        </w:rPr>
        <w:t xml:space="preserve"> vedl poplatníky k tomu, aby do daňového tvrzení uváděli pouze úzký okruh údajů, resp. daňové tvrzení by nepodával vůbec.</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Samotný postup prokazování příjmů není zákonem nijak formalizován, a to z důvodu, že bude zpravidla součástí jiného formalizovaného postupu (typicky daňová kontrola, doměřovací řízení). V praxi bude zejména záležet na tom, zda výzva k prokázání příjmů bude vydána samostatně nebo v rámci některého jiného zákonem předvídaného postupu (daňové kontroly nebo postupu k odstranění pochybností) a jaký prostředek komunikace se správcem daně zvolí samotný poplatník. Není vyloučeno, aby správce daně výzvu vydal poté, co poplatník nereagoval na výzvu k podání daňového přiznání nebo dodatečného daňového přiznání podle § 145 daňového řádu. Správce daně může též obě výzvy vydat současně. Jelikož cílem navržené právní úpravy je správné stanovení daně a její úhrada, vydání výzvy k prokázání příjmů nezbavuje poplatníka možnosti podat daňové přiznání nebo dodatečné daňové přiznání. Na základě takto podaného daňového tvrzení může být poté stanovena daň na základě dokazování.</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3:</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 tomto odstavci je využita obdobná konstrukce jako v případě § 89 odst. 3 daňového řádu upravujícího postup k odstranění pochybností. Správce daně je povinen poučit poplatníka o</w:t>
      </w:r>
      <w:r w:rsidR="0011253D">
        <w:rPr>
          <w:rFonts w:ascii="Times New Roman" w:hAnsi="Times New Roman"/>
          <w:color w:val="auto"/>
          <w:szCs w:val="24"/>
        </w:rPr>
        <w:t> </w:t>
      </w:r>
      <w:r w:rsidRPr="000E1DB7">
        <w:rPr>
          <w:rFonts w:ascii="Times New Roman" w:hAnsi="Times New Roman"/>
          <w:color w:val="auto"/>
          <w:szCs w:val="24"/>
        </w:rPr>
        <w:t>právních následcích, kterým bude vystaven, pokud neprokáže vznik a původ příjmů či další skutečnosti požadované správcem daně ve výzvě nebo při jejich prokazování neposkytne správci daně dostatečnou součinnost. Neprokázání příjmů může spočívat buď v (i) nesplnění důkazní povinnosti (poplatník na výzvu správce daně vůbec nereaguje a je nesoučinný), v důsledku čehož poplatník automaticky neunese důkazní břemeno, nebo v (ii) neunesení důkazního břemene v důsledku nedostatečné věrohodnosti a přesvědčivosti předložených důkazů (poplatník na výzvu správce daně reagoval, ale předložené důkazy k prokázání příjmů nepostačují).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poplatníka poučí, že v případě neprokázání skutečností požadovaných ve výzvě mu bude daň stanovena na základě pomůcek (viz odstavec 3 písmeno a)). Tím, že poplatník neprokáže tyto skutečnosti, neunese důkazní břemeno. Protože v takovém případě není možné stanovit daň na základě dokazování, správce daně přistoupí ke kontumačnímu stanovení daně podle pomůcek, které má k dispozici (§ 98 daňového řádu). Pokud správce daně dojde po předběžném posouzení k závěru, že by na základě použití pomůcek zvláštním způsobem podle § 38z odst. 2 byla výsledně stanovená daň ve výši alespoň 2 mil. Kč, pak použije tento zvláštní postup a obecná úprava pomůcek podle daňového řádu se uplatní pouze subsidiárně.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lastRenderedPageBreak/>
        <w:t>Správce daně zároveň poplatníka poučí, že při neposkytnutí dostatečné součinnosti při prokazování požadovaných skutečností bude v případě, že dojde ke stanovení daně podle pomůcek zvláštním způsobem, povinen uhradit penále v pětinásobné (100%) výši oproti standartní výši podle § 251 daňového řádu (viz odstavec 3 písm. b)). Aby ke vzniku penále v pětinásobné výši došlo, musí být nesoučinnost daňového subjektu vždy alespoň takové intenzity, aby závažně ztížila nebo bránila stanovení daně (k tomu viz odůvodnění k § 38zb).</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Zakotvení povinnosti správce daně poučit poplatníka o následcích spojených s nevyhověním výzvě nebo neposkytnutím dostatečné součinnosti je konkretizací zásady poučovací, která je jednou ze základních zásad správy daní. Výzva k prokázání příjmů je rozhodnutím ve smyslu § 101 a následující daňového řádu a jako taková musí obsahovat poučení. Bez tohoto výslovného vyjádření by byl správce daně v souladu s § 102 odst. 1 písm. f) daňového řádu povinen poplatníka poučit pouze o skutečnosti, že proti výzvě o prokázání příjmů není možné podat odvolání (srov. § 109 odst. 2 daňového řádu).</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4:</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Odstavec 4 upravuje možnost správce daně doplnit výzvu k prokázání příjmů. Správce daně k rozšíření výzvy přistoupí, pokud po vydání výzvy k prokázání příjmů vyjde najevo, že</w:t>
      </w:r>
      <w:r w:rsidR="0011253D">
        <w:rPr>
          <w:rFonts w:ascii="Times New Roman" w:hAnsi="Times New Roman"/>
          <w:color w:val="auto"/>
          <w:szCs w:val="24"/>
        </w:rPr>
        <w:t> </w:t>
      </w:r>
      <w:r w:rsidRPr="000E1DB7">
        <w:rPr>
          <w:rFonts w:ascii="Times New Roman" w:hAnsi="Times New Roman"/>
          <w:color w:val="auto"/>
          <w:szCs w:val="24"/>
        </w:rPr>
        <w:t>výzvu je potřeba doplnit o další skutečnosti a toto zjištění správce daně učiní (i) na základě vlastních poznatků, nebo (ii) na základě vyjádření poplatníka k výzvě. Správce daně k doplnění výzvy přistoupí vždy, pokud je to s ohledem na dosavadní průběh postupu prokazování příjmů nutné.</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může výzvu doplňovat i v rámci vedení dialogu s daňovým subjektem. Pokud se poplatníkovi nepodaří objasnit napoprvé veškeré skutečnosti požadované ve výzvě, měl by správce daně zpravidla zareagovat konkretizací svých požadavků v rámci doplnění výzvy o</w:t>
      </w:r>
      <w:r w:rsidR="0011253D">
        <w:rPr>
          <w:rFonts w:ascii="Times New Roman" w:hAnsi="Times New Roman"/>
          <w:color w:val="auto"/>
          <w:szCs w:val="24"/>
        </w:rPr>
        <w:t> </w:t>
      </w:r>
      <w:r w:rsidRPr="000E1DB7">
        <w:rPr>
          <w:rFonts w:ascii="Times New Roman" w:hAnsi="Times New Roman"/>
          <w:color w:val="auto"/>
          <w:szCs w:val="24"/>
        </w:rPr>
        <w:t>další skutečnosti.</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může výzvu doplnit vždy, pokud to bude situace vyžadovat. K doplnění tak může dojít i vícekrát. Správce daně je však povinen šetřit práva daňového subjektu a</w:t>
      </w:r>
      <w:r w:rsidR="0011253D">
        <w:rPr>
          <w:rFonts w:ascii="Times New Roman" w:hAnsi="Times New Roman"/>
          <w:color w:val="auto"/>
          <w:szCs w:val="24"/>
        </w:rPr>
        <w:t> </w:t>
      </w:r>
      <w:r w:rsidRPr="000E1DB7">
        <w:rPr>
          <w:rFonts w:ascii="Times New Roman" w:hAnsi="Times New Roman"/>
          <w:color w:val="auto"/>
          <w:szCs w:val="24"/>
        </w:rPr>
        <w:t>postupovat v souladu se zásadou hospodárnosti (§ 7 odst. 2 daňového řádu) tak, aby</w:t>
      </w:r>
      <w:r w:rsidR="0011253D">
        <w:rPr>
          <w:rFonts w:ascii="Times New Roman" w:hAnsi="Times New Roman"/>
          <w:color w:val="auto"/>
          <w:szCs w:val="24"/>
        </w:rPr>
        <w:t> </w:t>
      </w:r>
      <w:r w:rsidRPr="000E1DB7">
        <w:rPr>
          <w:rFonts w:ascii="Times New Roman" w:hAnsi="Times New Roman"/>
          <w:color w:val="auto"/>
          <w:szCs w:val="24"/>
        </w:rPr>
        <w:t>poplatníka zbytečně nezatěžoval a aby mu nevznikaly zbytečné náklady. Nemůže tak výzvu doplňovat donekonečna nebo se poplatníka vícekrát dotazovat na skutečnost, která již byla objasněna. To však neznamená, že by jedna a tatáž skutečnost nemohla být v rámci dialogu mezi poplatníkem a správce daně opakovaně rozebírána, pokud tento postup vede k jejímu objasnění.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Doplněním výzvy správce daně rozšiřuje obsah původní výzvy o nové skutečnosti, resp. pochybnosti, ke kterým se má poplatník vyjádřit a předložit důkazní prostředky. Při formulaci doplnění výzvy je správce daně povinen postupovat v souladu s odstavcem 2.</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5:</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 souladu s principem, podle něhož lze daň stanovit pouze tehdy, pokud neuplynula lhůta pro stanovení daně, která má v tomto ohledu prekluzivní (propadný) charakter, je v odstavci 5 stanoveno explicitní pravidlo, které limituje správce daně při vymezení skutečností, které má poplatník prokázat. Správce daně by měl primárně respektovat lhůtu pro stanovení daně a nesměřovat své pochybnosti popsané ve výzvě na skutečnosti, které se týkají období, u něhož již tato lhůta uplynula. Pokud je správci daně zjevné, že určitá skutečnost nastala v tomto období, nemůže vyzývat poplatníka k jejímu prokazování. Typicky se bude jednat o</w:t>
      </w:r>
      <w:r w:rsidR="0011253D">
        <w:rPr>
          <w:rFonts w:ascii="Times New Roman" w:hAnsi="Times New Roman"/>
          <w:color w:val="auto"/>
          <w:szCs w:val="24"/>
        </w:rPr>
        <w:t> </w:t>
      </w:r>
      <w:r w:rsidRPr="000E1DB7">
        <w:rPr>
          <w:rFonts w:ascii="Times New Roman" w:hAnsi="Times New Roman"/>
          <w:color w:val="auto"/>
          <w:szCs w:val="24"/>
        </w:rPr>
        <w:t xml:space="preserve">skutečnosti, které prokazatelně nastaly v daleké minulosti. Naopak v případě, kdy správce daně nebude s dostatečnou mírou jistoty přesvědčen o tom, kdy daná skutečnost nastala, měl by prokázání této skutečnosti požadovat po poplatníkovi ve výzvě. I kdyby se následně </w:t>
      </w:r>
      <w:r w:rsidRPr="000E1DB7">
        <w:rPr>
          <w:rFonts w:ascii="Times New Roman" w:hAnsi="Times New Roman"/>
          <w:color w:val="auto"/>
          <w:szCs w:val="24"/>
        </w:rPr>
        <w:lastRenderedPageBreak/>
        <w:t>na</w:t>
      </w:r>
      <w:r w:rsidR="0011253D">
        <w:rPr>
          <w:rFonts w:ascii="Times New Roman" w:hAnsi="Times New Roman"/>
          <w:color w:val="auto"/>
          <w:szCs w:val="24"/>
        </w:rPr>
        <w:t> </w:t>
      </w:r>
      <w:r w:rsidRPr="000E1DB7">
        <w:rPr>
          <w:rFonts w:ascii="Times New Roman" w:hAnsi="Times New Roman"/>
          <w:color w:val="auto"/>
          <w:szCs w:val="24"/>
        </w:rPr>
        <w:t>základě reakce poplatníka prokázal původ skutečnosti v již prekludovaném období, nebude to činit postup správce daně nezákonným, neboť v době vydání výzvy takovou informací nedisponoval, resp. mu nebyla hodnověrně prokázána. Na omezení uvedené v odstavci 5 navazuje úprava zakotvená v § 38y odst. 3.</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 38y</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1:</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Odstavec 1 upravuje lhůtu, v jaké je poplatník povinen správci daně prokázat skutečnosti požadované ve výzvě k prokázání příjmů. Poplatník je povinen tyto skutečnosti správci daně prokázat ve lhůtě 30 dní. Nestačí tak pouze reagovat (např. blanketním podáním), ale je nutné do té doby poskytnout důkazy či jiné informace, které jsou způsobilé prokázat požadované skutečnosti.</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Lhůta počne běžet v den následující po dni, kdy správce daně poplatníkovi oznámil výzvu k</w:t>
      </w:r>
      <w:r w:rsidR="0011253D">
        <w:rPr>
          <w:rFonts w:ascii="Times New Roman" w:hAnsi="Times New Roman"/>
          <w:color w:val="auto"/>
          <w:szCs w:val="24"/>
        </w:rPr>
        <w:t> </w:t>
      </w:r>
      <w:r w:rsidRPr="000E1DB7">
        <w:rPr>
          <w:rFonts w:ascii="Times New Roman" w:hAnsi="Times New Roman"/>
          <w:color w:val="auto"/>
          <w:szCs w:val="24"/>
        </w:rPr>
        <w:t>prokázání příjmů (podle § 33 odst. 2 daňového řádu počne lhůta stanovená podle dní běžet dnem, který následuje po dni, kdy došlo ke skutečnosti určující počátek běhu lhůty). Jelikož</w:t>
      </w:r>
      <w:r w:rsidR="0011253D">
        <w:rPr>
          <w:rFonts w:ascii="Times New Roman" w:hAnsi="Times New Roman"/>
          <w:color w:val="auto"/>
          <w:szCs w:val="24"/>
        </w:rPr>
        <w:t> </w:t>
      </w:r>
      <w:r w:rsidRPr="000E1DB7">
        <w:rPr>
          <w:rFonts w:ascii="Times New Roman" w:hAnsi="Times New Roman"/>
          <w:color w:val="auto"/>
          <w:szCs w:val="24"/>
        </w:rPr>
        <w:t xml:space="preserve">výzva je rozhodnutím ve smyslu § 101 daňového řádu, rozumí se oznámením její doručení poplatníkovi nebo jiný zaprotokolovaný způsob seznámení poplatníka s jejím obsahem (§ 101 odst. 6 daňového řádu). Při osobním jednání se správcem daně se rozhodnutí doručují předáním stejnopisu protokolu (podle § 61 odst. 2 daňového řádu).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Zákon umožňuje, aby lhůta pro prokázání příslušných skutečností byla prodloužena rozhodnutím správce daně vydaným na základě žádosti poplatníka, kterou je nutné podat ještě před tím, než dojde k marnému uplynutí této lhůty (§ 36 daňového řádu). Proto,</w:t>
      </w:r>
      <w:r w:rsidR="0011253D">
        <w:rPr>
          <w:rFonts w:ascii="Times New Roman" w:hAnsi="Times New Roman"/>
          <w:color w:val="auto"/>
          <w:szCs w:val="24"/>
        </w:rPr>
        <w:t> </w:t>
      </w:r>
      <w:r w:rsidRPr="000E1DB7">
        <w:rPr>
          <w:rFonts w:ascii="Times New Roman" w:hAnsi="Times New Roman"/>
          <w:color w:val="auto"/>
          <w:szCs w:val="24"/>
        </w:rPr>
        <w:t>aby</w:t>
      </w:r>
      <w:r w:rsidR="0011253D">
        <w:rPr>
          <w:rFonts w:ascii="Times New Roman" w:hAnsi="Times New Roman"/>
          <w:color w:val="auto"/>
          <w:szCs w:val="24"/>
        </w:rPr>
        <w:t> </w:t>
      </w:r>
      <w:r w:rsidRPr="000E1DB7">
        <w:rPr>
          <w:rFonts w:ascii="Times New Roman" w:hAnsi="Times New Roman"/>
          <w:color w:val="auto"/>
          <w:szCs w:val="24"/>
        </w:rPr>
        <w:t xml:space="preserve">k prodloužení lhůty mohlo dojít, musí žadatel doložit existenci závažných důvodů. Jedná se o tzv. lhůtu zákonnou, proto je prodloužení možné pouze pokud tak výslovně stanoví zákon. Zároveň se neuplatní automatické prodloužení lhůty na základě každé žádosti jako je tomu u lhůt stanovených správcem daně (viz § 36 odst. 2 daňového řádu </w:t>
      </w:r>
      <w:r w:rsidRPr="000E1DB7">
        <w:rPr>
          <w:rFonts w:ascii="Times New Roman" w:hAnsi="Times New Roman"/>
          <w:i/>
          <w:color w:val="auto"/>
          <w:szCs w:val="24"/>
        </w:rPr>
        <w:t>a contrario</w:t>
      </w:r>
      <w:r w:rsidRPr="000E1DB7">
        <w:rPr>
          <w:rFonts w:ascii="Times New Roman" w:hAnsi="Times New Roman"/>
          <w:color w:val="auto"/>
          <w:szCs w:val="24"/>
        </w:rPr>
        <w:t>). Lhůtu je též možné navrátit v předešlý stav podle § 37 daňového řádu. Na rozdíl od žádosti o</w:t>
      </w:r>
      <w:r w:rsidR="0011253D">
        <w:rPr>
          <w:rFonts w:ascii="Times New Roman" w:hAnsi="Times New Roman"/>
          <w:color w:val="auto"/>
          <w:szCs w:val="24"/>
        </w:rPr>
        <w:t> </w:t>
      </w:r>
      <w:r w:rsidRPr="000E1DB7">
        <w:rPr>
          <w:rFonts w:ascii="Times New Roman" w:hAnsi="Times New Roman"/>
          <w:color w:val="auto"/>
          <w:szCs w:val="24"/>
        </w:rPr>
        <w:t>prodloužení lhůty je možné žádost o navrácení lhůty v předešlý stav podat až po jejím marném uplynutí. Opět zde musí být správcem daně shledány závažné důvodu.</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 odstavci 2 zákon explicitně upravuje povinnost poplatníka prokázat vznik a původ i těch příjmů a jiných skutečností požadovaných ve výzvě, které vznikly nebo nastaly v období (zdaňovacím období nebo období, za které se podává daňové přiznání), u kterého již uplynula lhůta pro stanovení daně. Toto vymezení navazuje na důkazní povinnost daňového subjektu vyjádřenou v § 92 odst. 3 daňového řádu, na základě které poplatník prokazuje všechny skutečnosti, které je povinen uvádět v řádném nebo dodatečném daňovém tvrzení a dalších podáních.</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Cílem tohoto ustanovení není v rozporu s principem právní jistoty a smyslem prekluzivních lhůt dát správci daně možnost bez dalšího otvírat již uzavřená zdaňovací období. Účelem je umožnit mu zkontrolovat a posoudit tvrzení poplatníka, který se v rámci prokazování příjmů bude odvolávat na to, že jde o příjmy či jiné skutečnosti z dob minulých, u nichž již uplynula lhůta pro stanovení daně. Je tím reagováno i na zkušenosti ze stávající praxe, kde obecné mechanismy sice umožňují správci daně dotazovat se na rozpory mezi deklarovanými příjmy a faktickým nárůstem majetku, avšak poplatník se s odkazem na vznik v prekludovaném období vyhne povinnosti svá tvrzení dále prokazovat a správce daně tato tvrzení nemůže ověřit standardními mechanismy jako je daňová kontrola. Základní limit pro správce daně představuje úprava obsažená v § 38x odst. 5.</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lastRenderedPageBreak/>
        <w:t>Pokud se poplatník dovolává skutečnosti, že příjmy, z nichž byl dotčený majetek pořízen, vznikly v prekludovaném období, musí tuto skutečnost prokázat. Pokud přesvědčivým způsobem neprokáže časový rámec vzniku příjmů, což je klíčové pro posouzení prekluze, musí prokázat původ těchto příjmů. V zájmu poplatníka by mělo být prokázat původ příjmů i</w:t>
      </w:r>
      <w:r w:rsidR="0011253D">
        <w:rPr>
          <w:rFonts w:ascii="Times New Roman" w:hAnsi="Times New Roman"/>
          <w:color w:val="auto"/>
          <w:szCs w:val="24"/>
        </w:rPr>
        <w:t> </w:t>
      </w:r>
      <w:r w:rsidRPr="000E1DB7">
        <w:rPr>
          <w:rFonts w:ascii="Times New Roman" w:hAnsi="Times New Roman"/>
          <w:color w:val="auto"/>
          <w:szCs w:val="24"/>
        </w:rPr>
        <w:t>v tom případě, že prokáže jejich vznik ve zdaňovacím období, kde již uplynula lhůta pro stanovení daně (viz § 148 daňového řádu). Ačkoli správce daně nemůže s ohledem na</w:t>
      </w:r>
      <w:r w:rsidR="0011253D">
        <w:rPr>
          <w:rFonts w:ascii="Times New Roman" w:hAnsi="Times New Roman"/>
          <w:color w:val="auto"/>
          <w:szCs w:val="24"/>
        </w:rPr>
        <w:t> </w:t>
      </w:r>
      <w:r w:rsidRPr="000E1DB7">
        <w:rPr>
          <w:rFonts w:ascii="Times New Roman" w:hAnsi="Times New Roman"/>
          <w:color w:val="auto"/>
          <w:szCs w:val="24"/>
        </w:rPr>
        <w:t>uplynutí lhůty pro stanovení daně stanovit za tato období daň, může takto zjištěné údaje využít pro stanovení daně za zdaňovací období, u kterých lhůta pro stanovení daně ještě neuplynula. Zjištěné údaje lze v souladu s § 53 odst. 2 daňového řádu využít také jako podnět pro orgány činné v trestním řízení z hlediska možného podezření na zkrácení daně (lhůty pro zánik trestnosti jsou delší, než lhůta pro stanovení daně). Prokázáním původů příjmů (např. že šlo o příjmy osvobozené) pocházejících z prekludovaných období se tak poplatník zbavuje podezření ve vztahu k posouzení toho, zda byla naplněna skutková podstata trestného činu krácení daně.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Rozsah pravomoci správce daně upravené v § 53 odst. 2 daňového řádu poskytovat orgánům činným v trestním řízení svá zjištění ohledně páchání trestné činnosti není navrhovanou úpravou rozšiřován. Tato pravomoc je úpravou efektivnějšího nástroje k odhalování porušení povinností při správě daní pouze obnažena. Jelikož správce daně poskytuje orgánům činným v trestním řízení údaje, bez toho aniž by si činil úsudek, resp. aniž by byl schopen si učinit úsudek, o tom, zda byl trestný čin skutečně spáchán, zda byla naplněna skutková podstata či subjektivní stránka trestného činu, samotným poskytnutím údajů není nijak zasaženo do práv daňového subjektu. Z povahy věci nemůže jít ani o rozpor se zásadou zákazu sebeobvinění, která se uplatňuje pouze na poli trestního práva.</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Pravomoc správce daně kontrolovat plnění této povinnosti implicitně vyplývá z § 11 odst. 1 písm. c) daňového řádu, podle kterého správce daně kontroluje plnění povinností osob zúčastněných na správě daní.</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Ačkoli se lhůta pro stanovení daně podle § 148 daňového řádu vztahuje primárně k dani, její</w:t>
      </w:r>
      <w:r w:rsidR="0011253D">
        <w:rPr>
          <w:rFonts w:ascii="Times New Roman" w:hAnsi="Times New Roman"/>
          <w:color w:val="auto"/>
          <w:szCs w:val="24"/>
        </w:rPr>
        <w:t> </w:t>
      </w:r>
      <w:r w:rsidRPr="000E1DB7">
        <w:rPr>
          <w:rFonts w:ascii="Times New Roman" w:hAnsi="Times New Roman"/>
          <w:color w:val="auto"/>
          <w:szCs w:val="24"/>
        </w:rPr>
        <w:t>běh je nutné posuzovat též ve vztahu ke zdaňovacímu období (srov. § 134 odst. 2 daňového řádu, podle kterého se pro potřeby vymezení předmětu daňového řízení daň posuzuje ke</w:t>
      </w:r>
      <w:r w:rsidR="0011253D">
        <w:rPr>
          <w:rFonts w:ascii="Times New Roman" w:hAnsi="Times New Roman"/>
          <w:color w:val="auto"/>
          <w:szCs w:val="24"/>
        </w:rPr>
        <w:t> </w:t>
      </w:r>
      <w:r w:rsidRPr="000E1DB7">
        <w:rPr>
          <w:rFonts w:ascii="Times New Roman" w:hAnsi="Times New Roman"/>
          <w:color w:val="auto"/>
          <w:szCs w:val="24"/>
        </w:rPr>
        <w:t>zdaňovacímu období).</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3:</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Z důvodu právní jistoty se v odstavci 3 explicitně vyjadřuje vztah povinnosti zakotvené v odstavci 2 a omezení, které musí správce daně při vydávání výzvy k prokázání příjmů respektovat na základě § 38x odst. 5. Povinnost prokazovat skutečnosti požadované ve výzvě k prokázání příjmů nezávisle na tom, zda nastaly v již prekludovaném období z hlediska možnosti stanovit daň je omezena pouze na ty skutečnosti, které lze v takovéto výzvě požadovat. Z důkazní povinnosti jsou tak vyjmuty skutečnosti, u nichž muselo být správci daně v době vydání výzvy zjevné, že mají původ v tomto prekludovaném období.</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 38z</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Ustanovení § 38z stanoví následky vyhovění nebo nevyhovění výzvě správce daně k</w:t>
      </w:r>
      <w:r w:rsidR="0011253D">
        <w:rPr>
          <w:rFonts w:ascii="Times New Roman" w:hAnsi="Times New Roman"/>
          <w:color w:val="auto"/>
          <w:szCs w:val="24"/>
        </w:rPr>
        <w:t> </w:t>
      </w:r>
      <w:r w:rsidRPr="000E1DB7">
        <w:rPr>
          <w:rFonts w:ascii="Times New Roman" w:hAnsi="Times New Roman"/>
          <w:color w:val="auto"/>
          <w:szCs w:val="24"/>
        </w:rPr>
        <w:t>prokázání příjmů.</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Podle obecné právní úpravy v daňovém řádu je daňový subjekt povinen prokázat všechny skutečnosti, které je povinen uvádět v daňovém tvrzení a dalších podáních (§ 92 odst. 3 daňového řádu). Důkazní povinnost i důkazní břemeno nese daňový subjekt. Pokud správce daně na základě svých poznatků a indicií důvodně předpokládá, že nárůst jmění daňového subjektu neodpovídají deklarovaným příjmům, vyzve poplatníka, aby prokázal opak </w:t>
      </w:r>
      <w:r w:rsidRPr="000E1DB7">
        <w:rPr>
          <w:rFonts w:ascii="Times New Roman" w:hAnsi="Times New Roman"/>
          <w:color w:val="auto"/>
          <w:szCs w:val="24"/>
        </w:rPr>
        <w:lastRenderedPageBreak/>
        <w:t>(viz</w:t>
      </w:r>
      <w:r w:rsidR="0011253D">
        <w:rPr>
          <w:rFonts w:ascii="Times New Roman" w:hAnsi="Times New Roman"/>
          <w:color w:val="auto"/>
          <w:szCs w:val="24"/>
        </w:rPr>
        <w:t> </w:t>
      </w:r>
      <w:r w:rsidRPr="000E1DB7">
        <w:rPr>
          <w:rFonts w:ascii="Times New Roman" w:hAnsi="Times New Roman"/>
          <w:color w:val="auto"/>
          <w:szCs w:val="24"/>
        </w:rPr>
        <w:t>§</w:t>
      </w:r>
      <w:r w:rsidR="0011253D">
        <w:rPr>
          <w:rFonts w:ascii="Times New Roman" w:hAnsi="Times New Roman"/>
          <w:color w:val="auto"/>
          <w:szCs w:val="24"/>
        </w:rPr>
        <w:t> </w:t>
      </w:r>
      <w:r w:rsidRPr="000E1DB7">
        <w:rPr>
          <w:rFonts w:ascii="Times New Roman" w:hAnsi="Times New Roman"/>
          <w:color w:val="auto"/>
          <w:szCs w:val="24"/>
        </w:rPr>
        <w:t>38x). Pokud poplatník důkazní břemeno unese, správce daně o tom poplatníka vhodným způsobem vyrozumí (odstavec 1). Při neunesení důkazného břemene bude poplatníkovi daň stanovena podle pomůcek (odstavec 2 nebo § 98 daňového řádu).</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1:</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Odstavec 1 upravuje postup správce daně v případě, kdy poplatník prokáže své příjmy.</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Na rozdíl od stanovení daně podle pomůcek, o kterém se poplatník dozví z platebního výměru či dodatečného platebního výměru, který mu bude správcem daně oznámen (uplatní se obecná právní úprava daňového řádu, viz § 139, § 143, § 147 a § 101 odst. 6), se o skutečnosti, že</w:t>
      </w:r>
      <w:r w:rsidR="0011253D">
        <w:rPr>
          <w:rFonts w:ascii="Times New Roman" w:hAnsi="Times New Roman"/>
          <w:color w:val="auto"/>
          <w:szCs w:val="24"/>
        </w:rPr>
        <w:t> </w:t>
      </w:r>
      <w:r w:rsidRPr="000E1DB7">
        <w:rPr>
          <w:rFonts w:ascii="Times New Roman" w:hAnsi="Times New Roman"/>
          <w:color w:val="auto"/>
          <w:szCs w:val="24"/>
        </w:rPr>
        <w:t>pochybnosti odstranil a výsledek postupu je pro něj pozitivní, nemusí bez dalšího dozvědět. Proto zákon správci daně ukládá povinnost informovat poplatníka vhodným způsobem o tom, že příjmy prokázal. Vyrozumění není rozhodnutím. Zákon formu výslovně neupravuje, jde</w:t>
      </w:r>
      <w:r w:rsidR="00C274C3">
        <w:rPr>
          <w:rFonts w:ascii="Times New Roman" w:hAnsi="Times New Roman"/>
          <w:color w:val="auto"/>
          <w:szCs w:val="24"/>
        </w:rPr>
        <w:t> </w:t>
      </w:r>
      <w:r w:rsidRPr="000E1DB7">
        <w:rPr>
          <w:rFonts w:ascii="Times New Roman" w:hAnsi="Times New Roman"/>
          <w:color w:val="auto"/>
          <w:szCs w:val="24"/>
        </w:rPr>
        <w:t>o</w:t>
      </w:r>
      <w:r w:rsidR="00C274C3">
        <w:rPr>
          <w:rFonts w:ascii="Times New Roman" w:hAnsi="Times New Roman"/>
          <w:color w:val="auto"/>
          <w:szCs w:val="24"/>
        </w:rPr>
        <w:t> </w:t>
      </w:r>
      <w:r w:rsidRPr="000E1DB7">
        <w:rPr>
          <w:rFonts w:ascii="Times New Roman" w:hAnsi="Times New Roman"/>
          <w:color w:val="auto"/>
          <w:szCs w:val="24"/>
        </w:rPr>
        <w:t>neformální úkon správce daně (v závislosti na situaci a použitém postupu lze užít i méně oficiální formu komunikace). Sledovaným cílem je zde, aby se informace dostala k poplatníkovi. Tato forma komunikace mezi správcem daně a daňovým subjektem je podle daňového řádu běžná (viz např. § 153 odst. 3 nebo § 252 odst. 6). V případě, že odstranění pochybností povede k tomu, že daň bude možné stanovit na základě dokazování, není nutné samostatné vyrozumění, neboť k vyrozumění dojde tím, že poplatník obdrží platební výměr, resp. dodatečný platební výměr.</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Informace, které správce daně na základě výzvy k prokázání příjmů získá, nemusí vždy znamenat, že ze strany poplatníka nedošlo k tvrzení daně v nižší výši, než měla ve skutečnosti být. Správce daně proto může získané informace využít k tomu, že vyměří nebo doměří daň z moci úřední (pokud v mezidobí sám poplatník nepodá daňové přiznání nebo dodatečné daňové přiznání). Půjde o standardní stanovení daně na základě dokazování. Nebude tedy naplněna podmínka pro použití stanovení daně podle pomůcek.</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Správce daně zde bude vázán standardní lhůtou pro stanovení daně podle § 148 daňového řádu. Pokud by poplatník v reakci na výzvu k prokázání příjmů doložil existenci nezdaněných příjmů za období, za které již nelze s ohledem na uplynutí prekluzivní lhůty stanovit daň, správce daně již nebude moci k vyměření nebo doměření daně přistoupit. Zjištěné údaje tak bude moci využít pouze pro případný podnět orgánům činným v trestním řízení ohledně toho, že je zde podezření na zkrácení daně, neboť lhůty pro zánik trestnosti jsou delší. </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 tomto ustanovení jsou obsaženy podmínky pro použití speciální kategorie pomůcek. Na</w:t>
      </w:r>
      <w:r w:rsidR="00C274C3">
        <w:rPr>
          <w:rFonts w:ascii="Times New Roman" w:hAnsi="Times New Roman"/>
          <w:color w:val="auto"/>
          <w:szCs w:val="24"/>
        </w:rPr>
        <w:t> </w:t>
      </w:r>
      <w:r w:rsidRPr="000E1DB7">
        <w:rPr>
          <w:rFonts w:ascii="Times New Roman" w:hAnsi="Times New Roman"/>
          <w:color w:val="auto"/>
          <w:szCs w:val="24"/>
        </w:rPr>
        <w:t>rozdíl od stanovení daně na základě standardních pomůcek obsažených v § 98 daňového řádu, lze stanovení daně podle pomůcek zvláštním způsobem označit jako „přísnější“ a</w:t>
      </w:r>
      <w:r w:rsidR="00C274C3">
        <w:rPr>
          <w:rFonts w:ascii="Times New Roman" w:hAnsi="Times New Roman"/>
          <w:color w:val="auto"/>
          <w:szCs w:val="24"/>
        </w:rPr>
        <w:t> </w:t>
      </w:r>
      <w:r w:rsidRPr="000E1DB7">
        <w:rPr>
          <w:rFonts w:ascii="Times New Roman" w:hAnsi="Times New Roman"/>
          <w:color w:val="auto"/>
          <w:szCs w:val="24"/>
        </w:rPr>
        <w:t>„konkrétnější“ formu kontumačního stanovení daně, resp. vyčíslení základu daně. Zmíněná přísnost je dána určitými omezeními oproti obecné právní úpravě (viz § 38za odst. 4). Konkrétnost je pak dána tím, že úprava těchto pomůcek je poplatná stanovení daně z příjmů, zatímco standardní pomůcky v daňovém řádu jsou koncipovány univerzálně pro všechny druhy daní.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Předpokladem pro stanovení daně podle pomůcek zvláštním způsobem je kumulativní splnění tří podmínek.</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Za prvé je nutné, aby nedošlo k prokázání skutečností požadovaných správcem daně ve výzvě k prokázání příjmů. Neprokázání příjmů může spočívat buď v (i) nesplnění důkazní povinnosti (poplatník na výzvu správce daně vůbec nereaguje a je nesoučinný), v důsledku čehož poplatník automaticky neunese důkazní břemeno, nebo v (ii) neunesení důkazního břemene v důsledku nedostatečné věrohodnosti a přesvědčivosti předložených důkazů </w:t>
      </w:r>
      <w:r w:rsidRPr="000E1DB7">
        <w:rPr>
          <w:rFonts w:ascii="Times New Roman" w:hAnsi="Times New Roman"/>
          <w:color w:val="auto"/>
          <w:szCs w:val="24"/>
        </w:rPr>
        <w:lastRenderedPageBreak/>
        <w:t xml:space="preserve">(poplatník na výzvu správce daně reagoval, ale předložené důkazy k prokázání příjmů nepostačují).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Skutečnosti, které bude poplatník tvrdit a prokazovat, stejně jako důkazní prostředky, které</w:t>
      </w:r>
      <w:r w:rsidR="00C274C3">
        <w:rPr>
          <w:rFonts w:ascii="Times New Roman" w:hAnsi="Times New Roman"/>
          <w:color w:val="auto"/>
          <w:szCs w:val="24"/>
        </w:rPr>
        <w:t> </w:t>
      </w:r>
      <w:r w:rsidRPr="000E1DB7">
        <w:rPr>
          <w:rFonts w:ascii="Times New Roman" w:hAnsi="Times New Roman"/>
          <w:color w:val="auto"/>
          <w:szCs w:val="24"/>
        </w:rPr>
        <w:t>bude předkládat, se budou odvíjet od obsahu výzvy správce daně. Ta by měla primárně směřovat k tomu, aby poplatník prokázal vznik svých příjmů a jejich původ (viz § 38x odst. 1).</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Pokud poplatník prokáže, že (i) příjem vznikl, (ii) v jakém časovém období i (iii) jaký byl jeho původ, pak důkazní břemeno v zásadě unese. Pokud dosud neuplynula lhůta pro stanovení daně, správce daně může přistoupit ke stanovení daně na základě dokazování při použití zjištěných skutečností. Pokud lhůta pro stanovení daně již uplynula, daň stanovit nelze. Má-li však správce daně podezření, že jednáním poplatníka došlo ke spáchání trestného činu, správce daně podá podnět orgánům činným v trestním řízení, které budou dál postupovat v souladu s trestně-právními předpisy. V případě, že by došlo k pravomocnému odsouzení poplatníka pro daňový trestný čin, bylo by možné daň stanovit bez ohledu na to, že již uplynula lhůta pro stanovení daně (§ 148 odst. 6 daňového řádu).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Pokud poplatník prokáže vznik příjmu a určí časové období tohoto vzniku, nikoli však původ tohoto příjmu, bude rozhodující, zda vznik příjmu nastal ve zdaňovacím období, kde již uplynula lhůta pro stanovení daně, či nikoli. Správce daně bude moci přistoupit ke stanovení daně pouze za ta období, která nebyla dosud prekludována. Nicméně neschopnost či neochota prokázat (alespoň rámcově) původ příjmů může být vyhodnocena správcem daně jako signál, že v minulosti došlo ke spáchání trestného činu.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Pokud poplatník nebude schopen prokázat časové období, ve kterém příjem vznikl, bude</w:t>
      </w:r>
      <w:r w:rsidR="00C274C3">
        <w:rPr>
          <w:rFonts w:ascii="Times New Roman" w:hAnsi="Times New Roman"/>
          <w:color w:val="auto"/>
          <w:szCs w:val="24"/>
        </w:rPr>
        <w:t> </w:t>
      </w:r>
      <w:r w:rsidRPr="000E1DB7">
        <w:rPr>
          <w:rFonts w:ascii="Times New Roman" w:hAnsi="Times New Roman"/>
          <w:color w:val="auto"/>
          <w:szCs w:val="24"/>
        </w:rPr>
        <w:t>záviset na tom, zda unese důkazní břemeno ohledně prokázání původu příjmů. Pokud by v důsledku neunesení důkazního břemene došlo ke stanovení daně podle pomůcek zvláštním způsobem, tak se uplatní právní fikce obsažená v § 38za odst. 3, podle níže se na takové příjmy hledí, jakoby vznikly ve zdaňovacím období bezprostředně předcházejícím stanovení daně.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Za druhé musí být splněn předpoklad, že daň není možné stanovit na základě dokazování. Tento požadavek je logickým vyústěním toho, že daňový subjekt neunesl důkazní břemeno. To sice nemusí nezbytně nutně znamenat nemožnost stanovit daň na základě dokazování, neboť by mohl důkazní prostředky opatřit sám správce daně, byť to není jeho povinnost. V praxi však v drtivé většině neunesení důkazního břemene bude znamenat splnění této podmínky. Podmínka nemožnosti stanovit daň na základě dokazování je obecnou a základní podmínkou pro stanovení daně podle „standardních“ pomůcek (viz § 98 daňového řádu), nicméně je žádoucí z důvodu právní jistoty stanovit tuto podmínku </w:t>
      </w:r>
      <w:r w:rsidRPr="000E1DB7">
        <w:rPr>
          <w:rFonts w:ascii="Times New Roman" w:hAnsi="Times New Roman"/>
          <w:i/>
          <w:color w:val="auto"/>
          <w:szCs w:val="24"/>
        </w:rPr>
        <w:t>expressis verbis</w:t>
      </w:r>
      <w:r w:rsidRPr="000E1DB7">
        <w:rPr>
          <w:rFonts w:ascii="Times New Roman" w:hAnsi="Times New Roman"/>
          <w:color w:val="auto"/>
          <w:szCs w:val="24"/>
        </w:rPr>
        <w:t xml:space="preserve"> v navrhovaném ustanovení.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Třetí podmínkou je dosažení určité hodnoty disproporce (měřeno absolutně, nikoli poměrně) mezi přiznanými, resp. zdaněnými, příjmy a dosud zjištěným nárůstem jmění na základě odhadu správce daně. Tato hodnota je v této fázi procesu prokazování příjmů vyjádřena výší daně, která by podle úvahy správce daně měla být stanovena, pokud by došlo k použití mechanismu zvláštních pomůcek. Na rozdíl od limitu stanoveného u výzvy k prokázání příjmů, která celý proces startuje, zde není poměřována výše tvrzených příjmů a nárůstu jmění, nýbrž očekávaná výše stanovené daně, resp. doměrku, který bude výsledkem celého procesu, pokud dojde k užití daně podle pomůcek zvláštním způsobem.</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Hodnota tohoto limitu se navrhuje ve výši 2 mil. Kč. Správce daně proto ke stanovení  daně podle pomůcek zvláštním způsobem přistoupí pouze tehdy, pokud očekávaná výše vyměřené nebo doměřené daně (při aplikaci tohoto postupu) dosáhne hodnoty vyšší než 2 mil. Kč. </w:t>
      </w:r>
      <w:r w:rsidRPr="000E1DB7">
        <w:rPr>
          <w:rFonts w:ascii="Times New Roman" w:hAnsi="Times New Roman"/>
          <w:color w:val="auto"/>
          <w:szCs w:val="24"/>
        </w:rPr>
        <w:lastRenderedPageBreak/>
        <w:t>Stanovenou daní je nutné rozumět jednak daň vyměřenou (celkovou výši vyměřené daně) a</w:t>
      </w:r>
      <w:r w:rsidR="00C274C3">
        <w:rPr>
          <w:rFonts w:ascii="Times New Roman" w:hAnsi="Times New Roman"/>
          <w:color w:val="auto"/>
          <w:szCs w:val="24"/>
        </w:rPr>
        <w:t> </w:t>
      </w:r>
      <w:r w:rsidRPr="000E1DB7">
        <w:rPr>
          <w:rFonts w:ascii="Times New Roman" w:hAnsi="Times New Roman"/>
          <w:color w:val="auto"/>
          <w:szCs w:val="24"/>
        </w:rPr>
        <w:t>zároveň též daň doměřenou, resp. doměřený rozdíl. V případě 15% sazby u daně z příjmů fyzických osob by tedy základ daně, který správce daně v souladu s § 38za odhadne, musel být ve výši přesahující 13,3 mil. Kč. V případě 19% sazby u právnických osob by základ daně musel přesahovat 10,5 mil. Kč.</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Jelikož bude výše stanovené daně odhadnuta na základě úvahy správce daně, výše skutečně stanovené daně se od ní může lišit. To by samo o sobě nemělo diskvalifikovat použití zvláštní kategorie pomůcek podle § 38za, pokud tato disproporce nebude enormní.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 případě, kdy správce daně po předběžném posouzení usoudí, že stanovená daň nedosáhne požadované hodnoty, přistoupí ke stanovení daně podle standardních pomůcek. Uplatní se tak obecné ustanovení § 98 daňového řádu. Pokud je daň možné na základě dokazování stanovit, správce daně ji stanoví standardním způsobem podle daňového řádu bez ohledu na to, že</w:t>
      </w:r>
      <w:r w:rsidR="00C274C3">
        <w:rPr>
          <w:rFonts w:ascii="Times New Roman" w:hAnsi="Times New Roman"/>
          <w:color w:val="auto"/>
          <w:szCs w:val="24"/>
        </w:rPr>
        <w:t> </w:t>
      </w:r>
      <w:r w:rsidRPr="000E1DB7">
        <w:rPr>
          <w:rFonts w:ascii="Times New Roman" w:hAnsi="Times New Roman"/>
          <w:color w:val="auto"/>
          <w:szCs w:val="24"/>
        </w:rPr>
        <w:t>stanovená daň by přesáhla zákonem stanovený limit.</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Při stanovení daně podle pomůcek zvláštním způsobem se obecná právní úprava pomůcek podle daňového řádu uplatní subsidiárně. Z povahy věci vyplývá, že při neunesení důkazního břemene správce daně přistoupí buď ke stanovení daně podle pomůcek zvláštním způsobem (pokud jsou naplněny výše uvedené podmínky), anebo ke stanovení daně podle tzv.</w:t>
      </w:r>
      <w:r w:rsidR="00C274C3">
        <w:rPr>
          <w:rFonts w:ascii="Times New Roman" w:hAnsi="Times New Roman"/>
          <w:color w:val="auto"/>
          <w:szCs w:val="24"/>
        </w:rPr>
        <w:t> </w:t>
      </w:r>
      <w:r w:rsidRPr="000E1DB7">
        <w:rPr>
          <w:rFonts w:ascii="Times New Roman" w:hAnsi="Times New Roman"/>
          <w:color w:val="auto"/>
          <w:szCs w:val="24"/>
        </w:rPr>
        <w:t>standardních pomůcek podle § 98 daňového řádu. Nemůže dojít k tomu, aby byla za totožné zdaňovací období daň stanovena dvakrát (tj. jednou podle pomůcek zvláštním způsobem a jednou podle pomůcek ve smyslu § 98 daňového řádu).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Jelikož časové období, za které je poplatník na základě výzvy správce daně povinen prokázat příjmy, může přesahovat délku jednoho zdaňovacího období, může v praxi docházet k tomu, že poplatník prokáže skutečnosti požadované ve výzvě pouze za část ve výzvě vymezeného časového období, tedy pouze za některá zdaňovací období. Pokud na základě prokázání skutečností za některá zdaňovací období vyjde najevo, že daň má být vyměřena nebo doměřena, pak ji správce daně za tato zdaňovací období stanoví na základě dokazování. Za</w:t>
      </w:r>
      <w:r w:rsidR="00C274C3">
        <w:rPr>
          <w:rFonts w:ascii="Times New Roman" w:hAnsi="Times New Roman"/>
          <w:color w:val="auto"/>
          <w:szCs w:val="24"/>
        </w:rPr>
        <w:t> </w:t>
      </w:r>
      <w:r w:rsidRPr="000E1DB7">
        <w:rPr>
          <w:rFonts w:ascii="Times New Roman" w:hAnsi="Times New Roman"/>
          <w:color w:val="auto"/>
          <w:szCs w:val="24"/>
        </w:rPr>
        <w:t>zdaňovací období, u kterých nedošlo k prokázání požadovaných skutečností, pak přistoupí ke stanovení daně podle pomůcek (při naplnění výše uvedených podmínek podle pomůcek zvláštním způsobem nebo podle pomůcek podle § 98 daňového řádu). Předložené důkazní prostředky, pak mohou sloužit jako jedna z pomůcek pro stanovení daně podle § 98 odst. 3 písm. a) daňového řádu.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Na základě jedné výzvy k prokázání příjmů tak může dojít ke stanovení daně na základě dokazování, na základě pomůcek (zvláštních nebo standardních) nebo k němu nemusí dojít vůbec. Zároveň je myslitelné, že na základě jedné výzvy dojde ke stanovení daně za více zdaňovacích období.</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 38za</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Ustanovení § 38za upravuje pravidla stanovení daně podle pomůcek zvláštním způsobem. Správce daně stanoví daň podle pomůcek zvláštním způsobem, pokud jsou splněny podmínky uvedené v § 38z. Stanovení daně podle pomůcek je sekundární způsob stanovení daně, který se jako </w:t>
      </w:r>
      <w:r w:rsidRPr="000E1DB7">
        <w:rPr>
          <w:rFonts w:ascii="Times New Roman" w:hAnsi="Times New Roman"/>
          <w:i/>
          <w:color w:val="auto"/>
          <w:szCs w:val="24"/>
        </w:rPr>
        <w:t>ultima ratio</w:t>
      </w:r>
      <w:r w:rsidRPr="000E1DB7">
        <w:rPr>
          <w:rFonts w:ascii="Times New Roman" w:hAnsi="Times New Roman"/>
          <w:color w:val="auto"/>
          <w:szCs w:val="24"/>
        </w:rPr>
        <w:t xml:space="preserve"> použije pouze v případě, kdy daň není možné stanovit na základě dokazování. Stanovení daně podle pomůcek zvláštním způsobem je zároveň omezeno zákonným limitem v podobě odhadu výše stanovení daně za použití zvláštních pomůcek (viz</w:t>
      </w:r>
      <w:r w:rsidR="00C274C3">
        <w:rPr>
          <w:rFonts w:ascii="Times New Roman" w:hAnsi="Times New Roman"/>
          <w:color w:val="auto"/>
          <w:szCs w:val="24"/>
        </w:rPr>
        <w:t> </w:t>
      </w:r>
      <w:r w:rsidRPr="000E1DB7">
        <w:rPr>
          <w:rFonts w:ascii="Times New Roman" w:hAnsi="Times New Roman"/>
          <w:color w:val="auto"/>
          <w:szCs w:val="24"/>
        </w:rPr>
        <w:t>§ 38z). Ačkoli je právní úprava pomůcek zvláštním způsobem podle zákona o daních z příjmů do značné míry komplexní, právní úprava pomůcek podle daňového řádu se použije subsidiárně. Je-li odůvodněná obava, že daň stanovená podle pomůcek zvláštním způsobem, u</w:t>
      </w:r>
      <w:r w:rsidR="00C274C3">
        <w:rPr>
          <w:rFonts w:ascii="Times New Roman" w:hAnsi="Times New Roman"/>
          <w:color w:val="auto"/>
          <w:szCs w:val="24"/>
        </w:rPr>
        <w:t> </w:t>
      </w:r>
      <w:r w:rsidRPr="000E1DB7">
        <w:rPr>
          <w:rFonts w:ascii="Times New Roman" w:hAnsi="Times New Roman"/>
          <w:color w:val="auto"/>
          <w:szCs w:val="24"/>
        </w:rPr>
        <w:t xml:space="preserve">které ještě neuplynul den její splatnosti, nebo daň, která nebyla zatím podle pomůcek zvláštním způsobem stanovena, bude v době její vymahatelnosti nedobytná nebo její vybrání </w:t>
      </w:r>
      <w:r w:rsidRPr="000E1DB7">
        <w:rPr>
          <w:rFonts w:ascii="Times New Roman" w:hAnsi="Times New Roman"/>
          <w:color w:val="auto"/>
          <w:szCs w:val="24"/>
        </w:rPr>
        <w:lastRenderedPageBreak/>
        <w:t>bude spojeno se značnými obtížemi, může správce daně přistoupit k použití institutu zajištění daně podle § 167 a následující daňového řádu. Z povahy věci plyne, že zajištění lze použít i</w:t>
      </w:r>
      <w:r w:rsidR="00C274C3">
        <w:rPr>
          <w:rFonts w:ascii="Times New Roman" w:hAnsi="Times New Roman"/>
          <w:color w:val="auto"/>
          <w:szCs w:val="24"/>
        </w:rPr>
        <w:t> </w:t>
      </w:r>
      <w:r w:rsidRPr="000E1DB7">
        <w:rPr>
          <w:rFonts w:ascii="Times New Roman" w:hAnsi="Times New Roman"/>
          <w:color w:val="auto"/>
          <w:szCs w:val="24"/>
        </w:rPr>
        <w:t>při stanovení daně podle pomůcek podle § 98 daňového řádu.</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1:</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Odstavec 1 upravuje způsob, jakým se prostřednictvím právní fikce stanoví výše příjmů při použití zvláštních pomůcek, resp. při kontumačním stanovení daně. Cílem procesu je vyčíslit rozdíl mezi příjmy, u nichž bylo doloženo jejich zdanění nebo to, že dani nepodléhají, popř.</w:t>
      </w:r>
      <w:r w:rsidR="00C274C3">
        <w:rPr>
          <w:rFonts w:ascii="Times New Roman" w:hAnsi="Times New Roman"/>
          <w:color w:val="auto"/>
          <w:szCs w:val="24"/>
        </w:rPr>
        <w:t> </w:t>
      </w:r>
      <w:r w:rsidRPr="000E1DB7">
        <w:rPr>
          <w:rFonts w:ascii="Times New Roman" w:hAnsi="Times New Roman"/>
          <w:color w:val="auto"/>
          <w:szCs w:val="24"/>
        </w:rPr>
        <w:t>jinými legitimními zdroji, které zvyšují jmění poplatníka, a skutečným (faktickým) nárůstem jmění. Správce daně při tom neposuzuje legalitu či nelegalitu příjmů nebo jiných zdrojů.</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Správce daně pomocí důkazů, informací nebo jiných indicií (příkladem uvedených v odstavci 2) odhadne výši příjmů, které by poplatník musel mít, aby byl schopen pokrýt zjištěný nárůst svého jmění. Na základě tohoto odhadu správce daně určí základ daně z příjmů. V případě dně z příjmů fyzických osob správce daně přiřadí příjmy k příslušnému dílčímu základu daně (včetně konsekvencí do povinného pojistného).</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 odstavci 2 jsou demonstrativně uvedeny konkrétní nástroje a mechanismy, které správce daně použije při odhadu výše příjmů pro určení základu daně podle odstavce 1. Materiálně jde o další pomůcky, které správce daně použije pro stanovení daně. Použití pomůcek podle § 98 odst. 3 daňového řádu tím není vyloučeno.</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Jako možné pomůcky jsou zde uvedeny informace, ze kterých přímo i nepřímo vyplývá, že</w:t>
      </w:r>
      <w:r w:rsidR="00C274C3">
        <w:rPr>
          <w:rFonts w:ascii="Times New Roman" w:hAnsi="Times New Roman"/>
          <w:color w:val="auto"/>
          <w:szCs w:val="24"/>
        </w:rPr>
        <w:t> </w:t>
      </w:r>
      <w:r w:rsidRPr="000E1DB7">
        <w:rPr>
          <w:rFonts w:ascii="Times New Roman" w:hAnsi="Times New Roman"/>
          <w:color w:val="auto"/>
          <w:szCs w:val="24"/>
        </w:rPr>
        <w:t>příjmy poplatníka za dané zdaňovací období neodpovídají nárůstu jeho jmění. V daném případě nemusí jít nutně pouze o přímé či nepřímé důkazy, ale též o indicie a další poznatky, které by neobstály v procesu dokazování. Explicitně jsou zmíněny informace vyplývající z obchodních ukazatelů či informace o pohybech a zůstatcích na účtech (účtem je myšlen účet podle § 2662 a následující občanského zákoníku).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Stejně jako u standardních pomůcek je zde zdůrazněna metoda porovnání se srovnatelnými poplatníky. Porovnávány nebudou pouze obvyklé příjmy v daném místě a čase, ale</w:t>
      </w:r>
      <w:r w:rsidR="00C274C3">
        <w:rPr>
          <w:rFonts w:ascii="Times New Roman" w:hAnsi="Times New Roman"/>
          <w:color w:val="auto"/>
          <w:szCs w:val="24"/>
        </w:rPr>
        <w:t> </w:t>
      </w:r>
      <w:r w:rsidRPr="000E1DB7">
        <w:rPr>
          <w:rFonts w:ascii="Times New Roman" w:hAnsi="Times New Roman"/>
          <w:color w:val="auto"/>
          <w:szCs w:val="24"/>
        </w:rPr>
        <w:t>též</w:t>
      </w:r>
      <w:r w:rsidR="00C274C3">
        <w:rPr>
          <w:rFonts w:ascii="Times New Roman" w:hAnsi="Times New Roman"/>
          <w:color w:val="auto"/>
          <w:szCs w:val="24"/>
        </w:rPr>
        <w:t> </w:t>
      </w:r>
      <w:r w:rsidRPr="000E1DB7">
        <w:rPr>
          <w:rFonts w:ascii="Times New Roman" w:hAnsi="Times New Roman"/>
          <w:color w:val="auto"/>
          <w:szCs w:val="24"/>
        </w:rPr>
        <w:t>pořizovací nebo aktuální hodnota srovnatelného majetku.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Specifickou pomůckou může být prohlášení o majetku podle § 38zc a následující, resp.</w:t>
      </w:r>
      <w:r w:rsidR="00C274C3">
        <w:rPr>
          <w:rFonts w:ascii="Times New Roman" w:hAnsi="Times New Roman"/>
          <w:color w:val="auto"/>
          <w:szCs w:val="24"/>
        </w:rPr>
        <w:t> </w:t>
      </w:r>
      <w:r w:rsidRPr="000E1DB7">
        <w:rPr>
          <w:rFonts w:ascii="Times New Roman" w:hAnsi="Times New Roman"/>
          <w:color w:val="auto"/>
          <w:szCs w:val="24"/>
        </w:rPr>
        <w:t>informace z tohoto prohlášení vyplývající. Užití tohoto nástroje však bude možné pouze při naplnění zákonem stanovených podmínek (viz § 38zc).</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3:</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Odstavec 3 upravuje právní fikci, která se použije v případě, kdy není možné určit, do jakého zdaňovacího období patří příjmy, z nichž byla stanovena daň podle pomůcek zvláštním způsobem podle odstavce 1. Zákon stanoví, že pro tento případ se příjmy považují za příjmy vzniklé v posledním zdaňovacím období, za které již lze stanovit daň. Právní fikce nastoupí subsidiárně pouze v těch případech, kdy správce daně není schopen identifikovat, v jakém zdaňovacím období příjmy skutečně vznikly.</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Posledním zdaňovacím obdobím, za které již lze stanovit daň, je to zdaňovací období (i)</w:t>
      </w:r>
      <w:r w:rsidR="00C274C3">
        <w:rPr>
          <w:rFonts w:ascii="Times New Roman" w:hAnsi="Times New Roman"/>
          <w:color w:val="auto"/>
          <w:szCs w:val="24"/>
        </w:rPr>
        <w:t> </w:t>
      </w:r>
      <w:r w:rsidRPr="000E1DB7">
        <w:rPr>
          <w:rFonts w:ascii="Times New Roman" w:hAnsi="Times New Roman"/>
          <w:color w:val="auto"/>
          <w:szCs w:val="24"/>
        </w:rPr>
        <w:t>u</w:t>
      </w:r>
      <w:r w:rsidR="00C274C3">
        <w:rPr>
          <w:rFonts w:ascii="Times New Roman" w:hAnsi="Times New Roman"/>
          <w:color w:val="auto"/>
          <w:szCs w:val="24"/>
        </w:rPr>
        <w:t> </w:t>
      </w:r>
      <w:r w:rsidRPr="000E1DB7">
        <w:rPr>
          <w:rFonts w:ascii="Times New Roman" w:hAnsi="Times New Roman"/>
          <w:color w:val="auto"/>
          <w:szCs w:val="24"/>
        </w:rPr>
        <w:t>kterého jsou splněny zákonné podmínky vyměření daně, (ii) které předchází období, ve</w:t>
      </w:r>
      <w:r w:rsidR="00C274C3">
        <w:rPr>
          <w:rFonts w:ascii="Times New Roman" w:hAnsi="Times New Roman"/>
          <w:color w:val="auto"/>
          <w:szCs w:val="24"/>
        </w:rPr>
        <w:t> </w:t>
      </w:r>
      <w:r w:rsidRPr="000E1DB7">
        <w:rPr>
          <w:rFonts w:ascii="Times New Roman" w:hAnsi="Times New Roman"/>
          <w:color w:val="auto"/>
          <w:szCs w:val="24"/>
        </w:rPr>
        <w:t xml:space="preserve">kterém je stanovována daň podle pomůcek zvláštním způsobem a (iii) a které je z těchto období posledním v řadě (myšleno nejpozdějším). Posouzení skutečnosti, zda je za dané zdaňovací období již možné stanovit daň, je odvislé od uplynutí lhůty pro podání daňového přiznání. Správce daně nemůže přistoupit k vyměření daně do doby, než uplyne lhůta, ve které </w:t>
      </w:r>
      <w:r w:rsidRPr="000E1DB7">
        <w:rPr>
          <w:rFonts w:ascii="Times New Roman" w:hAnsi="Times New Roman"/>
          <w:color w:val="auto"/>
          <w:szCs w:val="24"/>
        </w:rPr>
        <w:lastRenderedPageBreak/>
        <w:t>je poplatník povinen podat daňové přiznání. Tato lhůta činí zpravidla 3 měsíce od uplynutí zdaňovacího období (viz § 136 odst. 1 daňového řádu), pokud však daňové přiznání poplatníka zpracovává daňový poradce, činí lhůta pro podání daňového přiznání 6 měsíců (§</w:t>
      </w:r>
      <w:r w:rsidR="00C274C3">
        <w:rPr>
          <w:rFonts w:ascii="Times New Roman" w:hAnsi="Times New Roman"/>
          <w:color w:val="auto"/>
          <w:szCs w:val="24"/>
        </w:rPr>
        <w:t> </w:t>
      </w:r>
      <w:r w:rsidRPr="000E1DB7">
        <w:rPr>
          <w:rFonts w:ascii="Times New Roman" w:hAnsi="Times New Roman"/>
          <w:color w:val="auto"/>
          <w:szCs w:val="24"/>
        </w:rPr>
        <w:t>136 odst. 2 daňového řádu). Další možnou modifikaci lhůty pro podání daňového přiznání představuje institut prodloužení lhůty podle § 36 odst. 4 daňového řádu (lhůtu lze prodloužit až o 3 měsíce). S ohledem na rozdílnou délku lhůty pro podání daňového přiznání bude i</w:t>
      </w:r>
      <w:r w:rsidR="00C274C3">
        <w:rPr>
          <w:rFonts w:ascii="Times New Roman" w:hAnsi="Times New Roman"/>
          <w:color w:val="auto"/>
          <w:szCs w:val="24"/>
        </w:rPr>
        <w:t> </w:t>
      </w:r>
      <w:r w:rsidRPr="000E1DB7">
        <w:rPr>
          <w:rFonts w:ascii="Times New Roman" w:hAnsi="Times New Roman"/>
          <w:color w:val="auto"/>
          <w:szCs w:val="24"/>
        </w:rPr>
        <w:t xml:space="preserve">okamžik, kdy již lze stanovit daň rozdílný.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Ke stanovení daně podle pomůcek zvláštním způsobem může (obdobně jako u jakéhokoli stanovení daně) dojít až po té, co uplyne lhůta pro podání daňového přiznání, která je zároveň lhůtou splatnosti daně. Z logiky věci vyplývá, že správce daně bude moci mechanismus sloužící k prokazování příjmů a případnému stanovení daně podle pomůcek zvláštním způsobem využít nejdříve po uplynutí této lhůty.</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Taková právní úprava je pro daňový subjekt výhodná z hlediska vzniku úroku z prodlení. Pokud se na odhadované příjmy hledí jako na příjmy vzniklé v posledním zdaňovacím období, za které již lze stanovit daň, uhradí poplatník úrok z prodlení pouze ode dne splatnosti stanovené daně (podle § 252 odst. 1 daňového řádu je daňový subjekt v prodlení, pokud neuhradí splatnou daň nejpozději v den její splatnosti, přičemž daň je podle § 135 odst. 3 daňového řádu splatná v poslední den lhůty pro podání daňového přiznání).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Fixace příjmů ke  zdaňovacímu období, za které již lze stanovit daň, má zároveň vliv na běh lhůty pro stanovení daně.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Vzhledem k tomu, že poplatník může být tázán na příjmy pocházející z již prekludovaných období (viz § 38y odst. 2), za která nelze stanovit daň, bude v jeho zájmu, aby tuto skutečnost hodnověrně prokázal. V opačném případě se uplatní výše zmíněná právní fikce, podle níž se na tyto příjmy (jejichž vznik a původ poplatník neprokáže) bude hledět jako na příjmy z posledního období, za které již lze stanovit daň. V důsledku toho může dojít k dodanění příjmů, které fakticky nastaly v prekludovaných obdobích, avšak poplatník tuto skutečnost nedokázal správci daně přesvědčivě prokázat. Při posouzení toho, co lze považovat za</w:t>
      </w:r>
      <w:r w:rsidR="009E0531">
        <w:rPr>
          <w:rFonts w:ascii="Times New Roman" w:hAnsi="Times New Roman"/>
          <w:color w:val="auto"/>
          <w:szCs w:val="24"/>
        </w:rPr>
        <w:t> </w:t>
      </w:r>
      <w:r w:rsidRPr="000E1DB7">
        <w:rPr>
          <w:rFonts w:ascii="Times New Roman" w:hAnsi="Times New Roman"/>
          <w:color w:val="auto"/>
          <w:szCs w:val="24"/>
        </w:rPr>
        <w:t>prokázané, musí správce daně zohlednit efekt běhu času. Mělo by tak být respektováno obecné pravidlo, že čím delší časové období uplynulo, tím obtížnější je určitou věc prokázat.</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Podle obecné právní úpravy v § 98 daňového řádu si musí správce daně při stanovení daně podle pomůcek vždy učinit názor o tom, do jakého zdaňovacího období příjmy spadají. Ustanovení odstavce 3 tuto skutečnost potvrzuje, a to zejména s ohledem na důležitost a</w:t>
      </w:r>
      <w:r w:rsidR="009E0531">
        <w:rPr>
          <w:rFonts w:ascii="Times New Roman" w:hAnsi="Times New Roman"/>
          <w:color w:val="auto"/>
          <w:szCs w:val="24"/>
        </w:rPr>
        <w:t> </w:t>
      </w:r>
      <w:r w:rsidRPr="000E1DB7">
        <w:rPr>
          <w:rFonts w:ascii="Times New Roman" w:hAnsi="Times New Roman"/>
          <w:color w:val="auto"/>
          <w:szCs w:val="24"/>
        </w:rPr>
        <w:t>citlivost navrhované právní úpravy.</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4:</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Odstavec 4 upravuje </w:t>
      </w:r>
      <w:r w:rsidRPr="000E1DB7">
        <w:rPr>
          <w:rFonts w:ascii="Times New Roman" w:hAnsi="Times New Roman"/>
          <w:i/>
          <w:color w:val="auto"/>
          <w:szCs w:val="24"/>
        </w:rPr>
        <w:t>lex specialis</w:t>
      </w:r>
      <w:r w:rsidRPr="000E1DB7">
        <w:rPr>
          <w:rFonts w:ascii="Times New Roman" w:hAnsi="Times New Roman"/>
          <w:color w:val="auto"/>
          <w:szCs w:val="24"/>
        </w:rPr>
        <w:t xml:space="preserve"> vůči § 98 odst. 2 daňového řádu, podle kterého správce daně při stanovení daně podle pomůcek přihlédne ke zjištěným okolnostem, z nichž vyplývají výhody pro daňový subjekt, i pokud jím nebyly uplatněny. K okolnostem, ze kterých vyplývají výhody pro poplatníka, správce daně přihlédne, ale pouze v případě že byly poplatníkem uplatněny a řádně prokázány. Nepostačí, aby poplatník skutečnosti, které svědčí v jeho prospěch, správci daně uvedl. Pouze pokud ohledně nich unese důkazní břemeno, pak je správce daně při stanovení daně zohlední.</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Uplatnění a prokázání okolností, ze kterých plynou pro poplatníka výhody, proběhne na</w:t>
      </w:r>
      <w:r w:rsidR="009E0531">
        <w:rPr>
          <w:rFonts w:ascii="Times New Roman" w:hAnsi="Times New Roman"/>
          <w:color w:val="auto"/>
          <w:szCs w:val="24"/>
        </w:rPr>
        <w:t> </w:t>
      </w:r>
      <w:r w:rsidRPr="000E1DB7">
        <w:rPr>
          <w:rFonts w:ascii="Times New Roman" w:hAnsi="Times New Roman"/>
          <w:color w:val="auto"/>
          <w:szCs w:val="24"/>
        </w:rPr>
        <w:t xml:space="preserve">základě výzvy správce daně k prokázání příjmů, případně v rámci samotného procesu prokazování skutečností, které správce daně uvedl v této výzvě. Načasování záleží na komunikaci mezi správcem daně a poplatníkem. Správce daně by měl, v souladu s principem dobré správy, poplatníka k uplatnění a prokázání okolností svědčících v jeho prospěch vyzvat </w:t>
      </w:r>
      <w:r w:rsidRPr="000E1DB7">
        <w:rPr>
          <w:rFonts w:ascii="Times New Roman" w:hAnsi="Times New Roman"/>
          <w:color w:val="auto"/>
          <w:szCs w:val="24"/>
        </w:rPr>
        <w:lastRenderedPageBreak/>
        <w:t>a poskytnout mu prostor pro jejich uplatnění. Nicméně uplatnění a prokázání těchto skutečností leží primárně na poplatníkovi, proto by sám poplatník měl být iniciativní. Pokud na výzvu správce daně nereaguje nebo po celou dobu odmítá jakkoli se správcem daně spolupracovat, nemůže pak namítat, že mu správce daně neposkytl prostor k uplatnění a</w:t>
      </w:r>
      <w:r w:rsidR="009E0531">
        <w:rPr>
          <w:rFonts w:ascii="Times New Roman" w:hAnsi="Times New Roman"/>
          <w:color w:val="auto"/>
          <w:szCs w:val="24"/>
        </w:rPr>
        <w:t> </w:t>
      </w:r>
      <w:r w:rsidRPr="000E1DB7">
        <w:rPr>
          <w:rFonts w:ascii="Times New Roman" w:hAnsi="Times New Roman"/>
          <w:color w:val="auto"/>
          <w:szCs w:val="24"/>
        </w:rPr>
        <w:t xml:space="preserve">prokázání skutečností nebo že jej k tomu nevyzval. </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 38zb</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Ustanovení navazuje na § 251 daňového řádu, podle kterého je daňový subjekt povinen uhradit penále z částky doměřené daně tak, jak byla stanovena oproti poslední známé dani, a</w:t>
      </w:r>
      <w:r w:rsidR="009E0531">
        <w:rPr>
          <w:rFonts w:ascii="Times New Roman" w:hAnsi="Times New Roman"/>
          <w:color w:val="auto"/>
          <w:szCs w:val="24"/>
        </w:rPr>
        <w:t> </w:t>
      </w:r>
      <w:r w:rsidRPr="000E1DB7">
        <w:rPr>
          <w:rFonts w:ascii="Times New Roman" w:hAnsi="Times New Roman"/>
          <w:color w:val="auto"/>
          <w:szCs w:val="24"/>
        </w:rPr>
        <w:t>to ve výši 20 %, je-li daň zvyšována. Podle § 251 daňového řádu povinnost uhradit penále vzniká, pouze pokud byla daň doměřena z moci úřední ve vyšší výši oproti poslední známé dani (povinnost uhradit penále nevzniká, pokud byla daň doměřena na základě dodatečného daňového tvrzení, viz § 251 odst. 4 daňového řádu).</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Oproti § 251 odst. 1 daňového řádu rozšiřuje ustanovení § 38zb zákonné podmínky, za</w:t>
      </w:r>
      <w:r w:rsidR="009E0531">
        <w:rPr>
          <w:rFonts w:ascii="Times New Roman" w:hAnsi="Times New Roman"/>
          <w:color w:val="auto"/>
          <w:szCs w:val="24"/>
        </w:rPr>
        <w:t> </w:t>
      </w:r>
      <w:r w:rsidRPr="000E1DB7">
        <w:rPr>
          <w:rFonts w:ascii="Times New Roman" w:hAnsi="Times New Roman"/>
          <w:color w:val="auto"/>
          <w:szCs w:val="24"/>
        </w:rPr>
        <w:t>kterých dojde ke vzniku povinnosti uhradit penále. Podle § 38zb vzniká penále při stanovení daně podle pomůcek zvláštním způsobem bez ohledu na to, zda k jejímu stanovení došlo na základě platebního výměru nebo dodatečného platebního výměru, tedy zda jde o</w:t>
      </w:r>
      <w:r w:rsidR="009E0531">
        <w:rPr>
          <w:rFonts w:ascii="Times New Roman" w:hAnsi="Times New Roman"/>
          <w:color w:val="auto"/>
          <w:szCs w:val="24"/>
        </w:rPr>
        <w:t> </w:t>
      </w:r>
      <w:r w:rsidRPr="000E1DB7">
        <w:rPr>
          <w:rFonts w:ascii="Times New Roman" w:hAnsi="Times New Roman"/>
          <w:color w:val="auto"/>
          <w:szCs w:val="24"/>
        </w:rPr>
        <w:t>vyměření nebo doměření daně. Základem pro výpočet penále bude daň stanovená (tj.</w:t>
      </w:r>
      <w:r w:rsidR="009E0531">
        <w:rPr>
          <w:rFonts w:ascii="Times New Roman" w:hAnsi="Times New Roman"/>
          <w:color w:val="auto"/>
          <w:szCs w:val="24"/>
        </w:rPr>
        <w:t> </w:t>
      </w:r>
      <w:r w:rsidRPr="000E1DB7">
        <w:rPr>
          <w:rFonts w:ascii="Times New Roman" w:hAnsi="Times New Roman"/>
          <w:color w:val="auto"/>
          <w:szCs w:val="24"/>
        </w:rPr>
        <w:t xml:space="preserve">vyměřená nebo doměřená) na základě pomůcek zvláštním způsobem. Z povahy věci tak vždy půjde o stanovení z moci úřední, nikoli stanovení na základě daňového přiznání či dodatečného daňového přiznání. </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Pokud nedojde k naplnění podmínky podle odstavce 1 písmene b), je penále vždy ve výši 50</w:t>
      </w:r>
      <w:r w:rsidR="009E0531">
        <w:rPr>
          <w:rFonts w:ascii="Times New Roman" w:hAnsi="Times New Roman"/>
          <w:color w:val="auto"/>
          <w:szCs w:val="24"/>
        </w:rPr>
        <w:t> </w:t>
      </w:r>
      <w:r w:rsidRPr="000E1DB7">
        <w:rPr>
          <w:rFonts w:ascii="Times New Roman" w:hAnsi="Times New Roman"/>
          <w:color w:val="auto"/>
          <w:szCs w:val="24"/>
        </w:rPr>
        <w:t xml:space="preserve">% z doměřeného rozdílu. </w:t>
      </w:r>
    </w:p>
    <w:p w:rsidR="000E1DB7" w:rsidRPr="000E1DB7" w:rsidRDefault="000E1DB7" w:rsidP="000E1DB7">
      <w:pPr>
        <w:pStyle w:val="Dvodovzprva"/>
        <w:rPr>
          <w:rFonts w:ascii="Times New Roman" w:hAnsi="Times New Roman"/>
          <w:color w:val="auto"/>
          <w:szCs w:val="24"/>
          <w:highlight w:val="yellow"/>
        </w:rPr>
      </w:pPr>
      <w:r w:rsidRPr="000E1DB7">
        <w:rPr>
          <w:rFonts w:ascii="Times New Roman" w:hAnsi="Times New Roman"/>
          <w:color w:val="auto"/>
          <w:szCs w:val="24"/>
        </w:rPr>
        <w:t>Penále ve výši 100 % je poplatník povinen uhradit, pokud byla daň ve vyšší výši oproti poslední známé dani stanovena podle pomůcek zvláštním způsobem, za předpokladu že nesoučinnost poplatníka závažně ztížila nebo bránila stanovení daně. Kritérium nesoučinnosti, které závažně ztěžuje nebo brání stanovení daně, bude naplněno například, pokud poplatník nebude reagovat na výzvu správce daně k prokázání příjmů nebo zareaguje jen pro formu (blanketně) a dále nebude se správcem daně spolupracovat. Obdobná situace může nastat při podání prohlášení o majetku. Nesoučinností je též třeba rozumět takové jednání poplatníka, kterým ztěžuje nebo brání stanovení daně, když záměrně uvádí nesprávné nebo hrubě zkreslené údaje nebo závažným způsobem porušuje povinnosti, jejichž řádné splnění je nezbytné pro zjištění údajů potřebných pro správné stanovení daně (například opakované nepodání daňového tvrzení, nevedení účetnictví, neplnění registračních povinností). Správce daně by měl při posuzování naplnění kritéria nesoučinnosti vycházet ze smyslu navržené úpravy, kterým je rozlišení mezi poplatníky, kteří svou nesoučinností, obstrukcemi či liknavostí ztěžují správci daně získávání důkazů potřebných pro stanovení daně, od</w:t>
      </w:r>
      <w:r w:rsidR="009E0531">
        <w:rPr>
          <w:rFonts w:ascii="Times New Roman" w:hAnsi="Times New Roman"/>
          <w:color w:val="auto"/>
          <w:szCs w:val="24"/>
        </w:rPr>
        <w:t> </w:t>
      </w:r>
      <w:r w:rsidRPr="000E1DB7">
        <w:rPr>
          <w:rFonts w:ascii="Times New Roman" w:hAnsi="Times New Roman"/>
          <w:color w:val="auto"/>
          <w:szCs w:val="24"/>
        </w:rPr>
        <w:t>poplatníků, kteří k odhalení vlastního pochybení přispějí a následnou součinností se jej snaží napravit. Součinnost se nemusí týkat striktně pouze dokazování, tj. skutkového stavu, ale též právního posouzení dané věci. Aby ke vzniku penále došlo, musí být nesoučinnost daňového subjektu vždy alespoň takové intenzity, aby závažně ztížila nebo bránila stanovení daně.</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O následcích spojených s neposkytnutím dostatečné součinnosti v podobě 100% penále musí správce daně poplatníka poučit ve výzvě k prokázání příjmů (viz § 38x odst. 4).</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 xml:space="preserve">Správce daně rozhodne o povinnosti uhradit penále v rámci platebního výměru nebo dodatečného platebního výměru, kterým je stanovena daň podle pomůcek zvláštním způsobem (odstavec 3). Penále je splatné ke stejnému dni jako takto stanovená daň. S ohledem na fixní výši penále stanovenou zákonem nemusí správce daně složitě </w:t>
      </w:r>
      <w:r w:rsidRPr="000E1DB7">
        <w:rPr>
          <w:rFonts w:ascii="Times New Roman" w:hAnsi="Times New Roman"/>
          <w:color w:val="auto"/>
          <w:szCs w:val="24"/>
        </w:rPr>
        <w:lastRenderedPageBreak/>
        <w:t>odůvodňovat stanovení penále ve výši 50 %. Naopak v případě, že přistoupí k uložení penále ve výši 100 %, bude muset dostatečně odůvodnit, že došlo k naplnění zákonem předvídané podmínky.</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Ustanovení § 251 odst. 4 daňového řádu není § 38zb dotčeno a jeho subsidiární použití zůstává zachováno.</w:t>
      </w:r>
    </w:p>
    <w:p w:rsidR="000E1DB7" w:rsidRPr="000E1DB7" w:rsidRDefault="000E1DB7" w:rsidP="000E1DB7">
      <w:pPr>
        <w:pStyle w:val="Dvodovzprva"/>
        <w:keepNext w:val="0"/>
        <w:widowControl w:val="0"/>
        <w:rPr>
          <w:rFonts w:ascii="Times New Roman" w:hAnsi="Times New Roman"/>
          <w:color w:val="auto"/>
          <w:szCs w:val="24"/>
        </w:rPr>
      </w:pPr>
      <w:r w:rsidRPr="000E1DB7">
        <w:rPr>
          <w:rFonts w:ascii="Times New Roman" w:hAnsi="Times New Roman"/>
          <w:color w:val="auto"/>
          <w:szCs w:val="24"/>
        </w:rPr>
        <w:t>Daňový řád v § 259a upravuje podmínky, za kterých lze penále prominout. Podle § 259a odst.</w:t>
      </w:r>
      <w:r w:rsidR="009E0531">
        <w:rPr>
          <w:rFonts w:ascii="Times New Roman" w:hAnsi="Times New Roman"/>
          <w:color w:val="auto"/>
          <w:szCs w:val="24"/>
        </w:rPr>
        <w:t> </w:t>
      </w:r>
      <w:r w:rsidRPr="000E1DB7">
        <w:rPr>
          <w:rFonts w:ascii="Times New Roman" w:hAnsi="Times New Roman"/>
          <w:color w:val="auto"/>
          <w:szCs w:val="24"/>
        </w:rPr>
        <w:t>1 je předpokladem prominutí části penále splnění dvou formálních podmínek (i) podání žádosti o prominutí a (ii) uhrazení daně, v důsledku jejíhož doměření daň vznikla. Odstavec 2 upravuje kritérium, podle kterého správce daně stanoví výši promíjeného penále (resp. to, zda k prominutí vůbec dojde), pokud daňový subjekt naplní formální podmínky pro prominutí penále podle odstavce 1. Tímto materiálním kritériem je míra součinnosti daňového subjektu v rámci postupu vedoucího k doměření daně z moci úřední. Poplatníkovi, kterému vznikne povinnost uhradit penále při stanovení daně podle pomůcek zvláštním způsobem ve výši 100</w:t>
      </w:r>
      <w:r w:rsidR="00F44720">
        <w:rPr>
          <w:rFonts w:ascii="Times New Roman" w:hAnsi="Times New Roman"/>
          <w:color w:val="auto"/>
          <w:szCs w:val="24"/>
        </w:rPr>
        <w:t> </w:t>
      </w:r>
      <w:r w:rsidRPr="000E1DB7">
        <w:rPr>
          <w:rFonts w:ascii="Times New Roman" w:hAnsi="Times New Roman"/>
          <w:color w:val="auto"/>
          <w:szCs w:val="24"/>
        </w:rPr>
        <w:t>%, nemůže být z povahy věci penále prominuto. Materiální podmínka součinnosti pro prominutí penále u něj nebude z povahy věci naplněna. Prominutí penále ve výši 50 % podle písmene a) není vyloučeno, nicméně bude záležet na naplnění zákonných podmínek a</w:t>
      </w:r>
      <w:r w:rsidR="009E0531">
        <w:rPr>
          <w:rFonts w:ascii="Times New Roman" w:hAnsi="Times New Roman"/>
          <w:color w:val="auto"/>
          <w:szCs w:val="24"/>
        </w:rPr>
        <w:t> </w:t>
      </w:r>
      <w:r w:rsidRPr="000E1DB7">
        <w:rPr>
          <w:rFonts w:ascii="Times New Roman" w:hAnsi="Times New Roman"/>
          <w:color w:val="auto"/>
          <w:szCs w:val="24"/>
        </w:rPr>
        <w:t>konečném posouzení správcem daně.</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 38zc</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Odstavec 1:</w:t>
      </w:r>
    </w:p>
    <w:p w:rsid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Inspirací pro navrženou úpravu prohlášení o majetku je institut prohlášení o majetku podle §</w:t>
      </w:r>
      <w:r w:rsidR="009E0531">
        <w:rPr>
          <w:rFonts w:ascii="Times New Roman" w:hAnsi="Times New Roman"/>
          <w:color w:val="auto"/>
          <w:szCs w:val="24"/>
        </w:rPr>
        <w:t> </w:t>
      </w:r>
      <w:r w:rsidRPr="000E1DB7">
        <w:rPr>
          <w:rFonts w:ascii="Times New Roman" w:hAnsi="Times New Roman"/>
          <w:color w:val="auto"/>
          <w:szCs w:val="24"/>
        </w:rPr>
        <w:t>180 daňového řádu. Účelem prohlášení o majetku podle tohoto návrhu zákona je obstarání informací o majetkové sféře poplatníka a využití těchto údajů pro správu daní (zejména pro doměření daně). Prohlášení o majetku není plošným nástrojem, k jehož podání by byly povinni poplatníci, kteří naplní zákonem stanovené podmínky. Jde o instrument, který správce daně zacílí na konkrétního poplatníka, pokud jsou splněny zákonné předpoklady, a k podání prohlášení jej vyzve.</w:t>
      </w:r>
    </w:p>
    <w:p w:rsid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Výzva k podání prohlášení o majetku je rozhodnutím ve smyslu § 101 a následující daňového řádu. Musí proto obsahovat obecné náležitosti rozhodnutí spolu s údaji vyžadovanými v odstavci 3 a 4. Není vyloučeno použití § 61 daňového řádu, které umožňuje rozhodnutí (tedy i výzvu) vyhlásit při jednání s poplatníkem, o němž se sepisuje protokol. V případě výzvy k podání prohlášení o majetku se uplatní obecné pravidlo zakotvené v § 109 odst. 2 daňového řádu, podle něhož se proti výzvě nelze samostatně odvolat. Výzvu správce daně poplatníkovi doručuje postupem podle § 39 a následující daňového řádu.</w:t>
      </w:r>
    </w:p>
    <w:p w:rsid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Aby mohl správce daně k prohlášení o majetku poplatníka vyzvat, musí být kum</w:t>
      </w:r>
      <w:r>
        <w:rPr>
          <w:rFonts w:ascii="Times New Roman" w:hAnsi="Times New Roman"/>
          <w:color w:val="auto"/>
          <w:szCs w:val="24"/>
        </w:rPr>
        <w:t>ulativně naplněny tři podmínky.</w:t>
      </w:r>
    </w:p>
    <w:p w:rsid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První podmínkou je, že na základě výzvy k prokázání příjmů podle § 38x nedošlo k prokázání skutečností požadovaných v této výzvě. Správce daně bude mít v takovém případě zpravidla mandát přistoupit ke stanovení daně podle pomůcek. V určitých případech však bude žádoucí, aby si nejprve opatřil podrobné informace, které lze získat výzvou k podání prohlášení o</w:t>
      </w:r>
      <w:r w:rsidR="009E0531">
        <w:rPr>
          <w:rFonts w:ascii="Times New Roman" w:hAnsi="Times New Roman"/>
          <w:color w:val="auto"/>
          <w:szCs w:val="24"/>
        </w:rPr>
        <w:t> </w:t>
      </w:r>
      <w:r w:rsidRPr="000E1DB7">
        <w:rPr>
          <w:rFonts w:ascii="Times New Roman" w:hAnsi="Times New Roman"/>
          <w:color w:val="auto"/>
          <w:szCs w:val="24"/>
        </w:rPr>
        <w:t>majetku. Takto získané informace mohou přispět k tomu, že daň bude možné stanovit na</w:t>
      </w:r>
      <w:r w:rsidR="009E0531">
        <w:rPr>
          <w:rFonts w:ascii="Times New Roman" w:hAnsi="Times New Roman"/>
          <w:color w:val="auto"/>
          <w:szCs w:val="24"/>
        </w:rPr>
        <w:t> </w:t>
      </w:r>
      <w:r w:rsidRPr="000E1DB7">
        <w:rPr>
          <w:rFonts w:ascii="Times New Roman" w:hAnsi="Times New Roman"/>
          <w:color w:val="auto"/>
          <w:szCs w:val="24"/>
        </w:rPr>
        <w:t>základě dokazování, nebo poslouží alespoň jako pomůcka.</w:t>
      </w:r>
    </w:p>
    <w:p w:rsid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 xml:space="preserve">Druhou podmínkou je, že informace potřebné k objasnění majetkové situace poplatníka nelze získat jiným způsobem, nebo je lze získat pouze s nepoměrnými obtížemi. Toto kritérium vyjadřuje skutečnost, že prohlášení o majetku by mělo být správcem daně vyžadováno jako </w:t>
      </w:r>
      <w:r w:rsidRPr="000E1DB7">
        <w:rPr>
          <w:rFonts w:ascii="Times New Roman" w:hAnsi="Times New Roman"/>
          <w:i/>
          <w:color w:val="auto"/>
          <w:szCs w:val="24"/>
        </w:rPr>
        <w:t xml:space="preserve">ultima ratio, </w:t>
      </w:r>
      <w:r w:rsidRPr="000E1DB7">
        <w:rPr>
          <w:rFonts w:ascii="Times New Roman" w:hAnsi="Times New Roman"/>
          <w:color w:val="auto"/>
          <w:szCs w:val="24"/>
        </w:rPr>
        <w:t xml:space="preserve">pokud informace potřebné k objasnění majetkové situace poplatníka nelze získat </w:t>
      </w:r>
      <w:r w:rsidRPr="000E1DB7">
        <w:rPr>
          <w:rFonts w:ascii="Times New Roman" w:hAnsi="Times New Roman"/>
          <w:color w:val="auto"/>
          <w:szCs w:val="24"/>
        </w:rPr>
        <w:lastRenderedPageBreak/>
        <w:t>jinak, nebo by k jejich získání bylo nutné použít prostředky, jejichž realizace by byla nákladná a nehospodárná z hlediska materiálního, personálního i časového.</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Třetí podmínkou je předpoklad, že souhrnná hodnota majetku, který je poplatník v prohlášení o majetku povinen uvést, přesáhne limit 10 mil. Kč. Tímto majetkem je nutné v souladu s</w:t>
      </w:r>
      <w:r w:rsidR="009E0531">
        <w:rPr>
          <w:rFonts w:ascii="Times New Roman" w:hAnsi="Times New Roman"/>
          <w:color w:val="auto"/>
          <w:szCs w:val="24"/>
        </w:rPr>
        <w:t> </w:t>
      </w:r>
      <w:r w:rsidRPr="000E1DB7">
        <w:rPr>
          <w:rFonts w:ascii="Times New Roman" w:hAnsi="Times New Roman"/>
          <w:color w:val="auto"/>
          <w:szCs w:val="24"/>
        </w:rPr>
        <w:t>§</w:t>
      </w:r>
      <w:r w:rsidR="009E0531">
        <w:rPr>
          <w:rFonts w:ascii="Times New Roman" w:hAnsi="Times New Roman"/>
          <w:color w:val="auto"/>
          <w:szCs w:val="24"/>
        </w:rPr>
        <w:t> </w:t>
      </w:r>
      <w:r w:rsidRPr="000E1DB7">
        <w:rPr>
          <w:rFonts w:ascii="Times New Roman" w:hAnsi="Times New Roman"/>
          <w:color w:val="auto"/>
          <w:szCs w:val="24"/>
        </w:rPr>
        <w:t>38ze odst. 1 nutné rozumět majetek, který si správce daně nemůže zjistit z jemu dostupných rejstříků a evidencí (zejm. nemovité věci na území České republiky, motorová vozidla evidovaná v registru vozidel). Půjde tak především o peněžní prostředky či nemovité věci v zahraničí. Ačkoli je poplatník v prohlášení o majetku podle § 38zd povinen uvádět i</w:t>
      </w:r>
      <w:r w:rsidR="009E0531">
        <w:rPr>
          <w:rFonts w:ascii="Times New Roman" w:hAnsi="Times New Roman"/>
          <w:color w:val="auto"/>
          <w:szCs w:val="24"/>
        </w:rPr>
        <w:t> </w:t>
      </w:r>
      <w:r w:rsidRPr="000E1DB7">
        <w:rPr>
          <w:rFonts w:ascii="Times New Roman" w:hAnsi="Times New Roman"/>
          <w:color w:val="auto"/>
          <w:szCs w:val="24"/>
        </w:rPr>
        <w:t>jiné údaje než údaje týkající se majetku, je pro účely posouzení limitu 10 mil. Kč rozhodná pouze výše majetku. Majetkem se rozumí majetek ve smyslu § 495 občanského zákoníku (oproštěný od dluhů, nejedná se tak o jmění).</w:t>
      </w:r>
    </w:p>
    <w:p w:rsidR="000E1DB7" w:rsidRPr="000E1DB7" w:rsidRDefault="000E1DB7" w:rsidP="000F3719">
      <w:pPr>
        <w:pStyle w:val="Dvodovzprva"/>
        <w:keepNext w:val="0"/>
        <w:rPr>
          <w:rFonts w:ascii="Times New Roman" w:hAnsi="Times New Roman"/>
          <w:color w:val="auto"/>
          <w:szCs w:val="24"/>
        </w:rPr>
      </w:pPr>
      <w:r w:rsidRPr="000E1DB7">
        <w:rPr>
          <w:rFonts w:ascii="Times New Roman" w:hAnsi="Times New Roman"/>
          <w:color w:val="auto"/>
          <w:szCs w:val="24"/>
        </w:rPr>
        <w:t>Důvodem pro zavedení limitu určeného absolutní částkou (10 mil. Kč) je zacílení tohoto mimořádného a administrativně náročného nástroje pouze na ty poplatníky, u nichž lze s ohledem k rozsahu jejich majetku očekávat, že by případné zkrácení daně mohlo dosáhnout vysoké hodnoty. Limit je též klíčový z hlediska právní jistoty samotných poplatníků, kteří tak mohou dopředu posoudit, zda se jich tento nástroj může dotknout, či nikoli.</w:t>
      </w:r>
    </w:p>
    <w:p w:rsidR="000E1DB7" w:rsidRPr="000E1DB7" w:rsidRDefault="000E1DB7" w:rsidP="000F3719">
      <w:pPr>
        <w:pStyle w:val="Dvodovzprva"/>
        <w:keepNext w:val="0"/>
        <w:rPr>
          <w:rFonts w:ascii="Times New Roman" w:hAnsi="Times New Roman"/>
          <w:color w:val="auto"/>
          <w:szCs w:val="24"/>
        </w:rPr>
      </w:pPr>
      <w:r w:rsidRPr="000E1DB7">
        <w:rPr>
          <w:rFonts w:ascii="Times New Roman" w:hAnsi="Times New Roman"/>
          <w:color w:val="auto"/>
          <w:szCs w:val="24"/>
        </w:rPr>
        <w:t>Hodnota majetku je určována na základě odhadu správce daně, proto se od ní skutečná hodnota majetku může lišit. Pokud bude poplatník správcem daně k podání prohlášení o</w:t>
      </w:r>
      <w:r w:rsidR="009E0531">
        <w:rPr>
          <w:rFonts w:ascii="Times New Roman" w:hAnsi="Times New Roman"/>
          <w:color w:val="auto"/>
          <w:szCs w:val="24"/>
        </w:rPr>
        <w:t> </w:t>
      </w:r>
      <w:r w:rsidRPr="000E1DB7">
        <w:rPr>
          <w:rFonts w:ascii="Times New Roman" w:hAnsi="Times New Roman"/>
          <w:color w:val="auto"/>
          <w:szCs w:val="24"/>
        </w:rPr>
        <w:t>majetku vyzván, protože správce daně odhadne výši jeho majetku tak, že přesáhne hodnotu 10 mil. Kč, avšak poplatník usoudí, že souhrn jeho majetku hodnotu 10 mil. Kč nepřesahuje, může správci daně pouze oznámit tuto skutečnost (viz § 38ze odst. 2). I toto oznámení má však povahu prohlášení o majetku. Pokud by se ukázalo, že si poplatník zjednodušil svou povinnost uvést požadované údaje odkazem na to, že výše jeho majetku nepřesahuje zákonem předvídanou hodnotu, přičemž tato hodnota by ve skutečnosti byla překročena, vystavuje se riziku trestního stíhání pro trestný čin porušení povinnosti učinit pravdivé prohlášení o</w:t>
      </w:r>
      <w:r w:rsidR="009E0531">
        <w:rPr>
          <w:rFonts w:ascii="Times New Roman" w:hAnsi="Times New Roman"/>
          <w:color w:val="auto"/>
          <w:szCs w:val="24"/>
        </w:rPr>
        <w:t> </w:t>
      </w:r>
      <w:r w:rsidRPr="000E1DB7">
        <w:rPr>
          <w:rFonts w:ascii="Times New Roman" w:hAnsi="Times New Roman"/>
          <w:color w:val="auto"/>
          <w:szCs w:val="24"/>
        </w:rPr>
        <w:t>majetku podle § 227 trestního zákoníku.</w:t>
      </w:r>
    </w:p>
    <w:p w:rsidR="000E1DB7" w:rsidRPr="000E1DB7" w:rsidRDefault="000E1DB7" w:rsidP="000F3719">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F3719">
      <w:pPr>
        <w:pStyle w:val="Dvodovzprva"/>
        <w:keepNext w:val="0"/>
        <w:rPr>
          <w:rFonts w:ascii="Times New Roman" w:hAnsi="Times New Roman"/>
          <w:color w:val="auto"/>
          <w:szCs w:val="24"/>
        </w:rPr>
      </w:pPr>
      <w:r w:rsidRPr="000E1DB7">
        <w:rPr>
          <w:rFonts w:ascii="Times New Roman" w:hAnsi="Times New Roman"/>
          <w:color w:val="auto"/>
          <w:szCs w:val="24"/>
        </w:rPr>
        <w:t>Odstavec 2 upravuje lhůtu, v jaké je poplatník povinen správci daně prohlášení o majetku podat. Délka lhůty je stanovena na 60 dnů. Lhůta počne běžet v den následující po dni, kdy</w:t>
      </w:r>
      <w:r w:rsidR="009E0531">
        <w:rPr>
          <w:rFonts w:ascii="Times New Roman" w:hAnsi="Times New Roman"/>
          <w:color w:val="auto"/>
          <w:szCs w:val="24"/>
        </w:rPr>
        <w:t> </w:t>
      </w:r>
      <w:r w:rsidRPr="000E1DB7">
        <w:rPr>
          <w:rFonts w:ascii="Times New Roman" w:hAnsi="Times New Roman"/>
          <w:color w:val="auto"/>
          <w:szCs w:val="24"/>
        </w:rPr>
        <w:t>správce daně poplatníkovi oznámil výzvu k podání prohlášení o majetku (podle § 33 odst. 2 daňového řádu počne lhůta stanovená podle dní běžet dnem, který následuje po dni, kdy došlo ke skutečnosti určující počátek běhu lhůty). Jelikož výzva je rozhodnutím ve smyslu §</w:t>
      </w:r>
      <w:r w:rsidR="009E0531">
        <w:rPr>
          <w:rFonts w:ascii="Times New Roman" w:hAnsi="Times New Roman"/>
          <w:color w:val="auto"/>
          <w:szCs w:val="24"/>
        </w:rPr>
        <w:t> </w:t>
      </w:r>
      <w:r w:rsidRPr="000E1DB7">
        <w:rPr>
          <w:rFonts w:ascii="Times New Roman" w:hAnsi="Times New Roman"/>
          <w:color w:val="auto"/>
          <w:szCs w:val="24"/>
        </w:rPr>
        <w:t xml:space="preserve">101 daňového řádu, rozumí se oznámením její doručení poplatníkovi nebo jiný zaprotokolovaný způsob seznámení poplatníka s jejím obsahem (§ 101 odst. 6 daňového řádu). Při osobním jednání se správcem daně se rozhodnutí doručují předáním stejnopisu protokolu (§ 61 odst. 2 daňového řádu). </w:t>
      </w:r>
    </w:p>
    <w:p w:rsidR="000E1DB7" w:rsidRPr="000E1DB7" w:rsidRDefault="000E1DB7" w:rsidP="000F3719">
      <w:pPr>
        <w:pStyle w:val="Dvodovzprva"/>
        <w:keepNext w:val="0"/>
        <w:rPr>
          <w:rFonts w:ascii="Times New Roman" w:hAnsi="Times New Roman"/>
          <w:color w:val="auto"/>
          <w:szCs w:val="24"/>
        </w:rPr>
      </w:pPr>
      <w:r w:rsidRPr="000E1DB7">
        <w:rPr>
          <w:rFonts w:ascii="Times New Roman" w:hAnsi="Times New Roman"/>
          <w:color w:val="auto"/>
          <w:szCs w:val="24"/>
        </w:rPr>
        <w:t xml:space="preserve">Zákon umožňuje, aby lhůta pro podání prohlášení o majetku byla prodloužena rozhodnutím správce daně vydaným na základě žádosti poplatníka, kterou je nutné podat ještě před tím, než dojde k marnému uplynutí této lhůty (§ 36 daňového řádu). Proto, aby k prodloužení lhůty mohlo dojít, musí žadatel doložit existenci závažných důvodů. Jedná se o tzv. lhůtu zákonnou, proto je prodloužení možné pouze pokud tak výslovně stanoví zákon. Zároveň se neuplatní automatické prodloužení lhůty na základě každé žádosti jako je tomu u lhůt stanovených správcem daně (viz § 36 odst. 2 daňového řádu </w:t>
      </w:r>
      <w:r w:rsidRPr="000E1DB7">
        <w:rPr>
          <w:rFonts w:ascii="Times New Roman" w:hAnsi="Times New Roman"/>
          <w:i/>
          <w:color w:val="auto"/>
          <w:szCs w:val="24"/>
        </w:rPr>
        <w:t>a contrario</w:t>
      </w:r>
      <w:r w:rsidRPr="000E1DB7">
        <w:rPr>
          <w:rFonts w:ascii="Times New Roman" w:hAnsi="Times New Roman"/>
          <w:color w:val="auto"/>
          <w:szCs w:val="24"/>
        </w:rPr>
        <w:t>). Lhůtu je též možné navrátit v</w:t>
      </w:r>
      <w:r w:rsidR="009E0531">
        <w:rPr>
          <w:rFonts w:ascii="Times New Roman" w:hAnsi="Times New Roman"/>
          <w:color w:val="auto"/>
          <w:szCs w:val="24"/>
        </w:rPr>
        <w:t> </w:t>
      </w:r>
      <w:r w:rsidRPr="000E1DB7">
        <w:rPr>
          <w:rFonts w:ascii="Times New Roman" w:hAnsi="Times New Roman"/>
          <w:color w:val="auto"/>
          <w:szCs w:val="24"/>
        </w:rPr>
        <w:t>předešlý stav podle § 37 daňového řádu. Na rozdíl od žádosti o prodloužení lhůty lze žádost o navrácení lhůty v předešlý stav podat až po jejím marném uplynutí. Opět zde musí být správcem daně shledány závažné důvodu.</w:t>
      </w:r>
    </w:p>
    <w:p w:rsidR="000E1DB7" w:rsidRPr="000E1DB7" w:rsidRDefault="000E1DB7" w:rsidP="000F3719">
      <w:pPr>
        <w:pStyle w:val="Dvodovzprva"/>
        <w:rPr>
          <w:rFonts w:ascii="Times New Roman" w:hAnsi="Times New Roman"/>
          <w:color w:val="auto"/>
          <w:szCs w:val="24"/>
          <w:u w:val="single"/>
        </w:rPr>
      </w:pPr>
      <w:r w:rsidRPr="000E1DB7">
        <w:rPr>
          <w:rFonts w:ascii="Times New Roman" w:hAnsi="Times New Roman"/>
          <w:color w:val="auto"/>
          <w:szCs w:val="24"/>
          <w:u w:val="single"/>
        </w:rPr>
        <w:lastRenderedPageBreak/>
        <w:t>Odstavec 3:</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Obdobně jako daňový řád i návrh tohoto zákona ukládá povinnost správci daně poučit poplatníka ve výzvě k podání prohlášení o majetku o jeho povinnostech, které mu oznámením výzvy vznikají, a současně o možných následcích spojených s nepodáním prohlášení o majetku nebo s uvedením nepravdivých anebo hrubě zkreslených údajů. Povinností poplatníka je podat prohlášení o majetku (§ 38zc odst. 2) a uvést v něm úplné a pravdivé údaje (§ 38zd odst. 1), které jsou vyspecifikovány v § 38zd odst. 1 až 3. Následkem nesplnění této povinnosti (bude-li úmyslné) může být odnětí svobody na jeden rok až čtyři léta, zákaz činnosti nebo peněžitý trest podle § 227 trestního zákoníku. Souladně s daňovým řádem je v tomto odstavci navrhováno prolomení mlčenlivosti správce daně vůči orgánům činným v trestním řízení ohledně výše uvedených skutečností.</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Odstavec 4:</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 případě, kdy poplatník nesplní povinnosti spojené s prohlášením o majetku, ke kterému byl vyzván podle odstavce 1, ať už jeho nepodáním, nebo uvedením nepravdivých či hrubě zkreslených údajů, správce daně přistoupí ke stanovení daně podle pomůcek zvláštním způsobem podle § 38za bez toho, aby musel testovat splnění podmínek obsažených v § 38x odst. 2. Jde o specifický případ sankce, neboť kontumační stanovení daně bude pro poplatníka zpravidla méně příznivé, než kdyby mu byla daň stanovena dokazováním.</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Podmínky stanovené v tomto ustanovení jsou širší než ty, které znamenají naplnění skutkové podstaty podle § 227 trestního zákoníku. Pro správce daně nebude na rozdíl od orgánů činných v trestním řízení rozhodné zavinění poplatníka (v daném případě úmyslné). Správce daně tak bude zkoumat pouze objektivní stav ohledně toho, zda zákonem požadovaná povinnost podat úplné a pravdivé prohlášení o majetku byla splněna.</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 38zd</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Odstavec 1:</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Návrh v odstavci 1 explicitně ukládá poplatníkovi zákonnou povinnost uvádět v prohlášení o majetku úplné a pravdivé údaje. Jde o obdobnou konstrukci jako u prohlášení o majetku podle § 180 daňového řádu. Na rozdíl od úpravy v daňovém řádu se zde povinnost vztahuje nejen na údaje o majetku, ale i na další požadované údaje, což odpovídá rozdílnému pojetí tohoto instrumentu. Údaj ohledně majetku patřícího do společného jmění manželů musí být rovněž součástí prohlášení o majetku, což lze dovodit z odstavce 2, který odkazuje na použití úpravy v daňovém řádu (v tomto případě § 180 odst. 2). Výslovné zakotvení povinnosti uvádět úplné a pravdivé údaje zdůrazňuje poplatníkům, kteří jsou adresáty této normy, že</w:t>
      </w:r>
      <w:r w:rsidR="009E0531">
        <w:rPr>
          <w:rFonts w:ascii="Times New Roman" w:hAnsi="Times New Roman"/>
          <w:color w:val="auto"/>
          <w:szCs w:val="24"/>
        </w:rPr>
        <w:t> </w:t>
      </w:r>
      <w:r w:rsidRPr="000E1DB7">
        <w:rPr>
          <w:rFonts w:ascii="Times New Roman" w:hAnsi="Times New Roman"/>
          <w:color w:val="auto"/>
          <w:szCs w:val="24"/>
        </w:rPr>
        <w:t>nerespektování této povinnosti může být shledáno jako naplnění skutkové podstaty trestného činu podle § 227 trestního zákoníku.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Skutečnost, že poplatník uvedl v prohlášení o majetku pravdivé a úplné údaje, je povinen výslovně potvrdit v samotném prohlášení (viz odstavec 3 písm. d)).</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F3719">
      <w:pPr>
        <w:pStyle w:val="Dvodovzprva"/>
        <w:keepNext w:val="0"/>
        <w:rPr>
          <w:rFonts w:ascii="Times New Roman" w:hAnsi="Times New Roman"/>
          <w:color w:val="auto"/>
          <w:szCs w:val="24"/>
        </w:rPr>
      </w:pPr>
      <w:r w:rsidRPr="000E1DB7">
        <w:rPr>
          <w:rFonts w:ascii="Times New Roman" w:hAnsi="Times New Roman"/>
          <w:color w:val="auto"/>
          <w:szCs w:val="24"/>
        </w:rPr>
        <w:t>Údaje, které bude poplatník povinen uvádět v prohlášení o majetku podle tohoto návrhu, se až na výjimky (viz odstavec 3 a § 38ze odst. 3) shodují s údaji, které je daňový subjekt povinen sdělit správci daně na základě výzvy k prohlášení o majetku podle § 180 odst. 3 písm. a) až j) daňového řádu. Tím je zajištěna kompatibilita prohlášení pro účely daňové exekuce, tj. pokud by mělo dojít k nedobrovolnému odčerpání majetku, správce daně může toto prohlášení o</w:t>
      </w:r>
      <w:r w:rsidR="009E0531">
        <w:rPr>
          <w:rFonts w:ascii="Times New Roman" w:hAnsi="Times New Roman"/>
          <w:color w:val="auto"/>
          <w:szCs w:val="24"/>
        </w:rPr>
        <w:t> </w:t>
      </w:r>
      <w:r w:rsidRPr="000E1DB7">
        <w:rPr>
          <w:rFonts w:ascii="Times New Roman" w:hAnsi="Times New Roman"/>
          <w:color w:val="auto"/>
          <w:szCs w:val="24"/>
        </w:rPr>
        <w:t>majetku využít k identifikaci majetku vhodného ke zpeněžení.</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lastRenderedPageBreak/>
        <w:t>Struktura požadovaných údajů předepsaných pod písmeny a) až f) je poplatná jednotlivým způsobům daňové exekuce, jimiž může být majetek, resp. majetkové právo daňovou exekucí postiženo. Daňový subjekt je povinen v prohlášení uvést osoby, vůči nimž má či bude mít majetkový nárok (např. plátce mzdy, plátce důchodu podle § 2701 a následující občanského zákoníku, poskytovatele platebních služeb, odběratele aj.) a movité a nemovité věci, které vlastní. Na rozdíl od občanského soudního řádu jsou podle písmene e) požadovány pouze takové věci, které podléhají výkonu rozhodnutí. V kombinaci s § 38ze odst. 3 se pak do výčtu údajů nemusí dostat věci, jejichž hodnota nepřesahuje 20 tis. Kč.</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Výkonu rozhodnutí podle občanského soudního řádu nepodléhají věci uvedené v § 322. Je</w:t>
      </w:r>
      <w:r w:rsidR="009E0531">
        <w:rPr>
          <w:rFonts w:ascii="Times New Roman" w:hAnsi="Times New Roman"/>
          <w:color w:val="auto"/>
          <w:szCs w:val="24"/>
        </w:rPr>
        <w:t> </w:t>
      </w:r>
      <w:r w:rsidRPr="000E1DB7">
        <w:rPr>
          <w:rFonts w:ascii="Times New Roman" w:hAnsi="Times New Roman"/>
          <w:color w:val="auto"/>
          <w:szCs w:val="24"/>
        </w:rPr>
        <w:t>logické, aby ani v prohlášení o majetku podle tohoto návrhu nebyl poplatník nucen uvádět majetek bagatelní povahy, jako například snubní prsten či zdravotnické potřeby. Naproti tomu věci, které podnikatel nezbytně nutně potřebuje k výkonu své podnikatelské činnosti, a které jsou vyloučené z výkonu rozhodnutí podle § 322 odst. 3 občanského soudního řádu, by</w:t>
      </w:r>
      <w:r w:rsidR="009E0531">
        <w:rPr>
          <w:rFonts w:ascii="Times New Roman" w:hAnsi="Times New Roman"/>
          <w:color w:val="auto"/>
          <w:szCs w:val="24"/>
        </w:rPr>
        <w:t> </w:t>
      </w:r>
      <w:r w:rsidRPr="000E1DB7">
        <w:rPr>
          <w:rFonts w:ascii="Times New Roman" w:hAnsi="Times New Roman"/>
          <w:color w:val="auto"/>
          <w:szCs w:val="24"/>
        </w:rPr>
        <w:t>v</w:t>
      </w:r>
      <w:r w:rsidR="009E0531">
        <w:rPr>
          <w:rFonts w:ascii="Times New Roman" w:hAnsi="Times New Roman"/>
          <w:color w:val="auto"/>
          <w:szCs w:val="24"/>
        </w:rPr>
        <w:t> </w:t>
      </w:r>
      <w:r w:rsidRPr="000E1DB7">
        <w:rPr>
          <w:rFonts w:ascii="Times New Roman" w:hAnsi="Times New Roman"/>
          <w:color w:val="auto"/>
          <w:szCs w:val="24"/>
        </w:rPr>
        <w:t>prohlášení o majetku měly být (pokud jejich hodnota překročí limit podle § 38ze odst. 3). Proto odstavec 3 písmeno c) výslovně upravuje povinnost poplatníka tuto skutečnost v</w:t>
      </w:r>
      <w:r w:rsidR="009E0531">
        <w:rPr>
          <w:rFonts w:ascii="Times New Roman" w:hAnsi="Times New Roman"/>
          <w:color w:val="auto"/>
          <w:szCs w:val="24"/>
        </w:rPr>
        <w:t> </w:t>
      </w:r>
      <w:r w:rsidRPr="000E1DB7">
        <w:rPr>
          <w:rFonts w:ascii="Times New Roman" w:hAnsi="Times New Roman"/>
          <w:color w:val="auto"/>
          <w:szCs w:val="24"/>
        </w:rPr>
        <w:t>prohlášení o majetku poplatník uvést.</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Přestože obchodní závod není postižitelný daňovou exekucí, musí být podle § 180 odst. 3 písm. g) daňového řádu v prohlášení o majetku uveden, neboť soudní exekutor má pravomoc jej prodat v exekučním řízení podle exekučního řádu zahájeném na návrh správce daně.</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Podle § 180 odst. 3 písm. h) daňového řádu je daňový subjekt povinen uvést i všechen ostatní majetek, který nespadá mezi majetek uvedený v předchozích písmenech uvedeného ustanovení. Oproti občanskému soudnímu řádu má daňový subjekt povinnost uvést k jím uvedenému majetku i případné právní závady. Ty totiž mohou mít zásadní vliv na výběr způsobu daňové exekuce, neboť ne všechny právní vady jsou zjistitelné bez součinnosti daňového subjektu.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Podle § 180 odst. 3 písm. j) daňového řádu musí daňový subjekt výslovně v prohlášení o</w:t>
      </w:r>
      <w:r w:rsidR="009E0531">
        <w:rPr>
          <w:rFonts w:ascii="Times New Roman" w:hAnsi="Times New Roman"/>
          <w:color w:val="auto"/>
          <w:szCs w:val="24"/>
        </w:rPr>
        <w:t> </w:t>
      </w:r>
      <w:r w:rsidRPr="000E1DB7">
        <w:rPr>
          <w:rFonts w:ascii="Times New Roman" w:hAnsi="Times New Roman"/>
          <w:color w:val="auto"/>
          <w:szCs w:val="24"/>
        </w:rPr>
        <w:t>majetku prohlásit, že údaje, které uvedl ve svém majetku, tak o majetku ve společném jmění, který podle daňového řádu je rovněž povinen uvést (§ 180 odst. 2 daňového řádu), jsou úplné a pravdivé. Tuto povinnost poplatnou pouze požadovaným údajům podle daňového řádu zkonzumuje navrhované ustanovení § 38zd odst. 3 písm. d), které ukládá poplatníkovi povinnost, aby v navrhovaném prohlášení o majetku výslovně prohlásil, že jím uvedené údaje (tj. nejen údaje o majetku) jsou úplné a pravdivé.</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Odstavec 3:</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Odstavec 3 vymezuje, jaké další údaje nad rámec právní úpravy § 180 daňového řádu je poplatník povinen v prohlášení o majetku uvést. Jde o údaje, které nejsou potřeba pro účely daňové exekuce (proto nejsou obsaženy v § 180 daňového řádu), ale pro účely prokazování původu majetku jsou žádoucí. Rozšířením o tyto údaje se název „prohlášení o majetku“ stává částečně zkreslujícím, avšak zachování tohoto terminologického označení je nutné s ohledem na provázanost s trestním zákoníkem (§ 227 upravuje trestný čin „Porušení povinnosti učinit pravdivé prohlášení o majetku“).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 xml:space="preserve">Písmeno a) stanoví, že poplatník v prohlášení o majetku uvede údaje vztahující se ke svěřenskému fondu, jehož je poplatník obmyšleným nebo zakladatelem. Poplatník v prohlášení o majetku uvede údaje, které správci daně umožní svěřenský fond identifikovat (zejména jeho označení a svěřenského správce, pokud je mu znám). Poplatník je zároveň v prohlášení o majetku povinen uvést skutečnosti o majetku ve svěřenském fondu, které jsou mu známy. Mezi tyto údaje patří například údaj o výši majetku ve svěřenském fondu, jeho struktuře, jednotlivých věcech do tohoto majetku náležejících, plnění, které je obmyšlenému </w:t>
      </w:r>
      <w:r w:rsidRPr="000E1DB7">
        <w:rPr>
          <w:rFonts w:ascii="Times New Roman" w:hAnsi="Times New Roman"/>
          <w:color w:val="auto"/>
          <w:szCs w:val="24"/>
        </w:rPr>
        <w:lastRenderedPageBreak/>
        <w:t>z majetku fondu určeno. Jelikož právní úprava svěřenského fondu nepočítá s tím, že by zakladatel nebo obmyšlený byl vždy obeznámen se stavem majetku ve svěřenském fondu a</w:t>
      </w:r>
      <w:r w:rsidR="009E0531">
        <w:rPr>
          <w:rFonts w:ascii="Times New Roman" w:hAnsi="Times New Roman"/>
          <w:color w:val="auto"/>
          <w:szCs w:val="24"/>
        </w:rPr>
        <w:t> </w:t>
      </w:r>
      <w:r w:rsidRPr="000E1DB7">
        <w:rPr>
          <w:rFonts w:ascii="Times New Roman" w:hAnsi="Times New Roman"/>
          <w:color w:val="auto"/>
          <w:szCs w:val="24"/>
        </w:rPr>
        <w:t>záleží na vnitřním uspořádání toho kterého fondu, nakolik bude o fungování fondu informován (neboť právní úprava svěřenského fondu podle občanského zákoníku i jiných obdobných institutů podle cizích právních řádů je založena na dispozitivních principech), uvede zakladatel nebo obmyšlený v prohlášení o majetku pouze ty údaje, které jsou mu známy. V případě zakladatele svěřenského fondu podle občanského zákoníku půjde zejména o údaje o majetku, který tvořil svěřenský fond při jeho vzniku, neboť tento je vždy nutné uvést ve statutu svěřenského fondu při založení (viz § 1452 občanského zákoníku). Pokud zakladatel nebo obmyšlený úmyslně neuvede majetek, který je mu znám, vystavuje se riziku trestního stíhání za spáchání trestného činu podle § 227 trestního zákoníku.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 xml:space="preserve">Ustanovení písmene a) necílí pouze na svěřenské fondy podle občanského zákoníku, ale též na obdobné právní instituty (zejména zahraniční), které mají stejné podstatné znaky jako svěřenský fond (srov. znění § 17 odst. 1 písm. f) </w:t>
      </w:r>
      <w:r w:rsidRPr="000E1DB7">
        <w:rPr>
          <w:rFonts w:ascii="Times New Roman" w:hAnsi="Times New Roman"/>
          <w:i/>
          <w:color w:val="auto"/>
          <w:szCs w:val="24"/>
        </w:rPr>
        <w:t>a contrario</w:t>
      </w:r>
      <w:r w:rsidRPr="000E1DB7">
        <w:rPr>
          <w:rFonts w:ascii="Times New Roman" w:hAnsi="Times New Roman"/>
          <w:color w:val="auto"/>
          <w:szCs w:val="24"/>
        </w:rPr>
        <w:t xml:space="preserve"> a písm. g). To samé platí pro osoby, které mají vztah ke svěřenskému fondu a jsou v obdobném postavení jako zakladatel (</w:t>
      </w:r>
      <w:r w:rsidRPr="000E1DB7">
        <w:rPr>
          <w:rFonts w:ascii="Times New Roman" w:hAnsi="Times New Roman"/>
          <w:i/>
          <w:color w:val="auto"/>
          <w:szCs w:val="24"/>
        </w:rPr>
        <w:t>settlor</w:t>
      </w:r>
      <w:r w:rsidRPr="000E1DB7">
        <w:rPr>
          <w:rFonts w:ascii="Times New Roman" w:hAnsi="Times New Roman"/>
          <w:color w:val="auto"/>
          <w:szCs w:val="24"/>
        </w:rPr>
        <w:t xml:space="preserve">) nebo obmyšlený (beneficient, </w:t>
      </w:r>
      <w:r w:rsidRPr="000E1DB7">
        <w:rPr>
          <w:rFonts w:ascii="Times New Roman" w:hAnsi="Times New Roman"/>
          <w:i/>
          <w:color w:val="auto"/>
          <w:szCs w:val="24"/>
        </w:rPr>
        <w:t>beneficiary</w:t>
      </w:r>
      <w:r w:rsidRPr="000E1DB7">
        <w:rPr>
          <w:rFonts w:ascii="Times New Roman" w:hAnsi="Times New Roman"/>
          <w:color w:val="auto"/>
          <w:szCs w:val="24"/>
        </w:rPr>
        <w:t>).</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Podle písmene b) je poplatník povinen uvést v prohlášení o majetku peněžité dluhy. V kombinaci s § 38ze odst. 3 písm. b) se však povinnost vztahuje pouze na peněžité dluhy přesahující hodnotu. 1 mil. Kč.  Nicméně poplatník s ohledem na břemeno tvrzení při prokazování příjmů může být motivován, aby do prohlášení o majetku uvedl i dluhy nižší hodnoty. Požadavek se vztahuje pouze na dluhy peněžité. Limit se posuzuje za každý dluh samostatně. Pro účely prohlášení o majetku nehraje roli, zda je dluh poplatníka veden v jiné měně (poplatník je povinen jej přecenit). Obdobnou úpravu lze nalézt v § 11 odst. 1 písm. b) zákona o střetu zájmů.</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Podle písmene c) je poplatník na rozdíl od úpravy prohlášení o majetku podle daňového řádu povinen v prohlášení uvést rovněž věci, které jako podnikatel nezbytně nutně potřebuje k výkonu své podnikatelské činnosti (srov. § 322 občanského soudního řádu). Důvodem je to, že úprava převzatá z daňového řádu by mohla zmařit účel prohlášení o majetku podle tohoto návrhu - tj. identifikaci veškerého významnějšího majetku. Nicméně i pro tyto věci se uplatní limit obsažený v § 38ze odst. 3 písm. a).</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 návaznosti na povinnost poplatníka uvádět v prohlášení o majetku úplné a pravdivé údaje podle odstavce 1 se v písmeni d) odstavce 3 požaduje, aby stejně jako v prohlášení o majetku podle daňového řádu i v navrhovaném prohlášení o majetku poplatník výslovně prohlásil, že</w:t>
      </w:r>
      <w:r w:rsidR="009E0531">
        <w:rPr>
          <w:rFonts w:ascii="Times New Roman" w:hAnsi="Times New Roman"/>
          <w:color w:val="auto"/>
          <w:szCs w:val="24"/>
        </w:rPr>
        <w:t> </w:t>
      </w:r>
      <w:r w:rsidRPr="000E1DB7">
        <w:rPr>
          <w:rFonts w:ascii="Times New Roman" w:hAnsi="Times New Roman"/>
          <w:color w:val="auto"/>
          <w:szCs w:val="24"/>
        </w:rPr>
        <w:t>jím uvedené údaje jsou úplné a pravdivé.</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Odstavec 4:</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Instrument prohlášení o majetku byl do úpravy daňového řádu převzat ze soukromoprávního předpisu – občanského soudního řádu (§ 260a až 260h). Ačkoli se obě úpravy v zásadě shodují, důvod jejich existence v tom kterém právním předpisu je jiný. Primárním účelem prohlášení o majetku podle občanského soudního řádu je získání informací o majetkové sféře povinného pro oprávněného, neboť v návrhu na nařízení výkonu rozhodnutí musí být určen způsob, jakým by měl být výkon proveden, pokud se ale nepodařilo uspokojit pohledávku oprávněného výkonem rozhodnutí přikázáním pohledávky z účtu povinného u peněžního ústavu. Při daňovém řízení má správce daně pravomoc získat relevantní informace o většině obvyklého majetku daňového subjektu od třetích osob či registrů a jiných evidencí, proto</w:t>
      </w:r>
      <w:r w:rsidR="009E0531">
        <w:rPr>
          <w:rFonts w:ascii="Times New Roman" w:hAnsi="Times New Roman"/>
          <w:color w:val="auto"/>
          <w:szCs w:val="24"/>
        </w:rPr>
        <w:t> </w:t>
      </w:r>
      <w:r w:rsidRPr="000E1DB7">
        <w:rPr>
          <w:rFonts w:ascii="Times New Roman" w:hAnsi="Times New Roman"/>
          <w:color w:val="auto"/>
          <w:szCs w:val="24"/>
        </w:rPr>
        <w:t xml:space="preserve">hlavním důvodem, proč se úprava prohlášení o majetku stala součástí i daňového řádu, je ten, že po doručení výzvy k prohlášení o majetku se veškerá právní jednání, která neslouží </w:t>
      </w:r>
      <w:r w:rsidRPr="000E1DB7">
        <w:rPr>
          <w:rFonts w:ascii="Times New Roman" w:hAnsi="Times New Roman"/>
          <w:color w:val="auto"/>
          <w:szCs w:val="24"/>
        </w:rPr>
        <w:lastRenderedPageBreak/>
        <w:t>pro uspokojování základních životních potřeb, správy majetku a zachování běžné obchodní činnosti, stávají ex lege vůči správci daně neúčinná.</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Vzhledem ke skutečnosti, že výzva k prohlášení o majetku podle § 38zc nebude mít vliv na účinnost právních jednání poplatníka učiněných po jejím oznámení, a také vzhledem k tomu, že primárním účelem prohlášení o majetku podle tohoto návrhu je identifikace veškerého významného majetku poplatníka, navrhuje se zavést rozhodný den, k němuž se mají požadované údaje zjišťovat. Při stanovení rozhodného dne bude správce daně postupovat v</w:t>
      </w:r>
      <w:r w:rsidR="009E0531">
        <w:rPr>
          <w:rFonts w:ascii="Times New Roman" w:hAnsi="Times New Roman"/>
          <w:color w:val="auto"/>
          <w:szCs w:val="24"/>
        </w:rPr>
        <w:t> </w:t>
      </w:r>
      <w:r w:rsidRPr="000E1DB7">
        <w:rPr>
          <w:rFonts w:ascii="Times New Roman" w:hAnsi="Times New Roman"/>
          <w:color w:val="auto"/>
          <w:szCs w:val="24"/>
        </w:rPr>
        <w:t xml:space="preserve">souladu se zásadami správy daní, zejména pak v souladu se zásadou přiměřenosti a šetření práv osob, vůči nimž pravomoci správce daně směřují. Tímto rozhodným dnem může být např. poslední den účetního období (ať už kalendářního či hospodářského roku). </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 prvé řadě však musí dbát smyslu daného opatření, kterým je zjištění majetkových a jiných poměrů poplatníka z hlediska prověření rizika, že by z jeho strany docházelo k zatajení zdanitelných příjmů. Pokud tedy správce daně po vydání výzvy k prokázání příjmů podle §</w:t>
      </w:r>
      <w:r w:rsidR="009E0531">
        <w:rPr>
          <w:rFonts w:ascii="Times New Roman" w:hAnsi="Times New Roman"/>
          <w:color w:val="auto"/>
          <w:szCs w:val="24"/>
        </w:rPr>
        <w:t> </w:t>
      </w:r>
      <w:r w:rsidRPr="000E1DB7">
        <w:rPr>
          <w:rFonts w:ascii="Times New Roman" w:hAnsi="Times New Roman"/>
          <w:color w:val="auto"/>
          <w:szCs w:val="24"/>
        </w:rPr>
        <w:t>38x, která je nezbytným prvním krokem celého procesu, získá podezření, že poplatník zcizuje svůj majetek nebo činí jiná opatření vedoucí k tomu, aby v případném budoucím prohlášení o majetku nemusel uvádět určité údaje, může následně při vydání výzvy k prokázání příjmů rozhodný den stanovit zpětně – např. k datu, o kterém se domnívá, že předchází zcizení majetku, nebo ke dni oznámení výzvy podle § 38x. Tento postup by měl správce daně řádně odůvodnit.</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Neurčí-li správce daně rozhodný den ve výzvě k prohlášení o majetku, pak jím vždy bude den oznámení výzvy. V tomto případě není nutné určení rozhodného dne blíže odůvodňovat. Oznámením je doručení výzvy poplatníkovi nebo jiný zaprotokolovaný způsob seznámení poplatníka s výzvou (viz § 101 odst. 6 daňového řádu).</w:t>
      </w:r>
    </w:p>
    <w:p w:rsidR="000E1DB7" w:rsidRPr="000E1DB7" w:rsidRDefault="000E1DB7" w:rsidP="000E1DB7">
      <w:pPr>
        <w:pStyle w:val="Dvodovzprva"/>
        <w:rPr>
          <w:rFonts w:ascii="Times New Roman" w:hAnsi="Times New Roman"/>
          <w:color w:val="auto"/>
          <w:szCs w:val="24"/>
          <w:u w:val="single"/>
        </w:rPr>
      </w:pPr>
      <w:r w:rsidRPr="000E1DB7">
        <w:rPr>
          <w:rFonts w:ascii="Times New Roman" w:hAnsi="Times New Roman"/>
          <w:color w:val="auto"/>
          <w:szCs w:val="24"/>
          <w:u w:val="single"/>
        </w:rPr>
        <w:t>K odstavci 5:</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Navrhuje se, aby stejně jako prohlášení o majetku podle daňového řádu bylo i prohlášení o</w:t>
      </w:r>
      <w:r w:rsidR="009E0531">
        <w:rPr>
          <w:rFonts w:ascii="Times New Roman" w:hAnsi="Times New Roman"/>
          <w:color w:val="auto"/>
          <w:szCs w:val="24"/>
        </w:rPr>
        <w:t> </w:t>
      </w:r>
      <w:r w:rsidRPr="000E1DB7">
        <w:rPr>
          <w:rFonts w:ascii="Times New Roman" w:hAnsi="Times New Roman"/>
          <w:color w:val="auto"/>
          <w:szCs w:val="24"/>
        </w:rPr>
        <w:t>majetku podle tohoto návrhu povinně opatřováno úředně ověřeným podpisem u listinné formy, a to z důvodu možných dopadů způsobených porušením povinnosti uvádět úplné a</w:t>
      </w:r>
      <w:r w:rsidR="009E0531">
        <w:rPr>
          <w:rFonts w:ascii="Times New Roman" w:hAnsi="Times New Roman"/>
          <w:color w:val="auto"/>
          <w:szCs w:val="24"/>
        </w:rPr>
        <w:t> </w:t>
      </w:r>
      <w:r w:rsidRPr="000E1DB7">
        <w:rPr>
          <w:rFonts w:ascii="Times New Roman" w:hAnsi="Times New Roman"/>
          <w:color w:val="auto"/>
          <w:szCs w:val="24"/>
        </w:rPr>
        <w:t>pravdivé údaje o svém majetku.</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 38ze</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 xml:space="preserve">Odstavec 1: </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Odstavec 1 upravuje výjimku z § 38zd, tj. stanovuje okruh údajů, které není potřeba v prohlášení o majetku uvést. V tomto směru musí být kumulativně naplněny tři podmínky: (i) evidence či rejstřík musí obsahovat údaje, které se uvádějí v prohlášení o majetku, (ii)</w:t>
      </w:r>
      <w:r w:rsidR="009E0531">
        <w:rPr>
          <w:rFonts w:ascii="Times New Roman" w:hAnsi="Times New Roman"/>
          <w:color w:val="auto"/>
          <w:szCs w:val="24"/>
        </w:rPr>
        <w:t> </w:t>
      </w:r>
      <w:r w:rsidRPr="000E1DB7">
        <w:rPr>
          <w:rFonts w:ascii="Times New Roman" w:hAnsi="Times New Roman"/>
          <w:color w:val="auto"/>
          <w:szCs w:val="24"/>
        </w:rPr>
        <w:t>správce daně má do této evidence nebo rejstříku přístup a (iii) správce daně tuto evidenci a</w:t>
      </w:r>
      <w:r w:rsidR="009E0531">
        <w:rPr>
          <w:rFonts w:ascii="Times New Roman" w:hAnsi="Times New Roman"/>
          <w:color w:val="auto"/>
          <w:szCs w:val="24"/>
        </w:rPr>
        <w:t> </w:t>
      </w:r>
      <w:r w:rsidRPr="000E1DB7">
        <w:rPr>
          <w:rFonts w:ascii="Times New Roman" w:hAnsi="Times New Roman"/>
          <w:color w:val="auto"/>
          <w:szCs w:val="24"/>
        </w:rPr>
        <w:t xml:space="preserve">rejstřík zveřejní na úřední desce či způsobem umožňujícím dálkový přístup (viz § 56 daňového řádu). Takovou evidencí bude typicky katastr nemovitostí nebo registr vozidel. </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 souladu se zásadou hospodárnosti (§ 7 odst. 2 daňového řádu) a dobré správy (§ 6 odst. 4 daňového řádu) by se správce daně v rámci zveřejnění neměl omezit na pouhé zveřejnění evidencí a rejstříků, ale měl by zároveň zveřejnit přímo údaje (příp. okruhy údajů), kterých se vynětí z prohlašovací povinnosti týká. Zveřejnění je nástroj, pomocí kterého může správce daně modifikovat rozsah údajů, které může po poplatníkovi v prohlášení o majetku požadovat. Při uveřejnění evidence či rejstříku jako celku správce daně nemůže po</w:t>
      </w:r>
      <w:r w:rsidR="009E0531">
        <w:rPr>
          <w:rFonts w:ascii="Times New Roman" w:hAnsi="Times New Roman"/>
          <w:color w:val="auto"/>
          <w:szCs w:val="24"/>
        </w:rPr>
        <w:t> </w:t>
      </w:r>
      <w:r w:rsidRPr="000E1DB7">
        <w:rPr>
          <w:rFonts w:ascii="Times New Roman" w:hAnsi="Times New Roman"/>
          <w:color w:val="auto"/>
          <w:szCs w:val="24"/>
        </w:rPr>
        <w:t>poplatníkovi požadovat žádné údaje z tohoto rejstříku či evidence.</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 xml:space="preserve">Hodnota věcí zjistitelných z těchto rejstříků a evidencí se nebude započítávat do limitu podle odstavce 2, resp. § 38zc odst. 1 písm. c). Do výpočtu limitu se tak nezahrnou zejména </w:t>
      </w:r>
      <w:r w:rsidRPr="000E1DB7">
        <w:rPr>
          <w:rFonts w:ascii="Times New Roman" w:hAnsi="Times New Roman"/>
          <w:color w:val="auto"/>
          <w:szCs w:val="24"/>
        </w:rPr>
        <w:lastRenderedPageBreak/>
        <w:t>nemovité věci na území České republiky (to však neplatí pro nemovité věci v zahraničí) či</w:t>
      </w:r>
      <w:r w:rsidR="009E0531">
        <w:rPr>
          <w:rFonts w:ascii="Times New Roman" w:hAnsi="Times New Roman"/>
          <w:color w:val="auto"/>
          <w:szCs w:val="24"/>
        </w:rPr>
        <w:t> </w:t>
      </w:r>
      <w:r w:rsidRPr="000E1DB7">
        <w:rPr>
          <w:rFonts w:ascii="Times New Roman" w:hAnsi="Times New Roman"/>
          <w:color w:val="auto"/>
          <w:szCs w:val="24"/>
        </w:rPr>
        <w:t>automobily evidované v rejstříku vozidel.</w:t>
      </w:r>
    </w:p>
    <w:p w:rsidR="000E1DB7" w:rsidRPr="000E1DB7" w:rsidRDefault="000E1DB7" w:rsidP="00780ED3">
      <w:pPr>
        <w:pStyle w:val="Dvodovzprva"/>
        <w:rPr>
          <w:rFonts w:ascii="Times New Roman" w:hAnsi="Times New Roman"/>
          <w:color w:val="auto"/>
          <w:szCs w:val="24"/>
          <w:u w:val="single"/>
        </w:rPr>
      </w:pPr>
      <w:r w:rsidRPr="000E1DB7">
        <w:rPr>
          <w:rFonts w:ascii="Times New Roman" w:hAnsi="Times New Roman"/>
          <w:color w:val="auto"/>
          <w:szCs w:val="24"/>
          <w:u w:val="single"/>
        </w:rPr>
        <w:t>Odstavec 2:</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Pokud je poplatník správcem daně k podání prohlášení o majetku vyzván, ale poplatník usoudí, že souhrn jeho majetku nepřesahuje hodnotu 10 mil. Kč, může v prohlášení o majetku uvést pouze tuto skutečnost (spolu s prohlášením, že tento údaj je pravdivý). Poplatníkovi je tak poskytnuta možnost, aby podal prohlášení o majetku ve zjednodušené formě, pokud je přesvědčen, že jeho majetek zákonem stanovený limit nepřekračuje (přestože správce daně si na základě svého odhadu podle § 38zc odst. 1 písm. c) učinil jiný závěr). Zákon však poplatníkovi v podání kompletního prohlášení o majetku nebrání a poplatník jej může podat (učiní tak zejména v situaci, pokud se výše jeho majetku bude pohybovat na zákonné hranici).</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Do hodnoty majetku se nezapočítá majetek, který správce daně může zjistit sám z rejstříků a</w:t>
      </w:r>
      <w:r w:rsidR="009E0531">
        <w:rPr>
          <w:rFonts w:ascii="Times New Roman" w:hAnsi="Times New Roman"/>
          <w:color w:val="auto"/>
          <w:szCs w:val="24"/>
        </w:rPr>
        <w:t> </w:t>
      </w:r>
      <w:r w:rsidRPr="000E1DB7">
        <w:rPr>
          <w:rFonts w:ascii="Times New Roman" w:hAnsi="Times New Roman"/>
          <w:color w:val="auto"/>
          <w:szCs w:val="24"/>
        </w:rPr>
        <w:t>evidencí podle předchozího odstavce.</w:t>
      </w:r>
    </w:p>
    <w:p w:rsidR="000E1DB7" w:rsidRPr="000E1DB7" w:rsidRDefault="000E1DB7" w:rsidP="000E1DB7">
      <w:pPr>
        <w:pStyle w:val="Dvodovzprva"/>
        <w:keepNext w:val="0"/>
        <w:rPr>
          <w:rFonts w:ascii="Times New Roman" w:hAnsi="Times New Roman"/>
          <w:color w:val="auto"/>
          <w:szCs w:val="24"/>
          <w:u w:val="single"/>
        </w:rPr>
      </w:pPr>
      <w:r w:rsidRPr="000E1DB7">
        <w:rPr>
          <w:rFonts w:ascii="Times New Roman" w:hAnsi="Times New Roman"/>
          <w:color w:val="auto"/>
          <w:szCs w:val="24"/>
          <w:u w:val="single"/>
        </w:rPr>
        <w:t>Odstavec 3:</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Smyslem tohoto ustanovení je snížit administrativní náročnost při vyplňování údajů do</w:t>
      </w:r>
      <w:r w:rsidR="009E0531">
        <w:rPr>
          <w:rFonts w:ascii="Times New Roman" w:hAnsi="Times New Roman"/>
          <w:color w:val="auto"/>
          <w:szCs w:val="24"/>
        </w:rPr>
        <w:t> </w:t>
      </w:r>
      <w:r w:rsidRPr="000E1DB7">
        <w:rPr>
          <w:rFonts w:ascii="Times New Roman" w:hAnsi="Times New Roman"/>
          <w:color w:val="auto"/>
          <w:szCs w:val="24"/>
        </w:rPr>
        <w:t>prohlášení o majetku tím, že poplatník nebude povinen uvádět údaje o jednotlivých věcech či dluzích, pokud jejich hodnota nepřesahuje zákonem předvídaný limit. Nicméně poplatník s ohledem na břemeno tvrzení při prokazování příjmů může být motivován, aby do prohlášení o majetku uvedl i údaje o věcech či dluzích, které daný limit nepřesahují.</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Podle písmene a) není poplatník povinen v prohlášení o majetku uvést jednotlivé movité věci, jejichž hodnota nepřesahuje 20 tis. Kč. Limit se posuzuje u každé věci samostatně.</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Podle písmene b) není poplatník povinen uvést v prohlášení o majetku peněžité dluhy nepřesahující hodnotu 1 mil. Kč. Limit se posuzuje za každý dluh samostatně. Pro účely prohlášení o majetku nehraje roli, zda je dluh poplatníka veden v jiné měně (poplatník je povinen jej přecenit).</w:t>
      </w:r>
    </w:p>
    <w:p w:rsidR="000E1DB7" w:rsidRPr="000E1DB7" w:rsidRDefault="000E1DB7" w:rsidP="000E1DB7">
      <w:pPr>
        <w:pStyle w:val="Dvodovzprva"/>
        <w:widowControl w:val="0"/>
        <w:rPr>
          <w:rFonts w:ascii="Times New Roman" w:hAnsi="Times New Roman"/>
          <w:b/>
          <w:color w:val="auto"/>
          <w:sz w:val="28"/>
          <w:szCs w:val="24"/>
        </w:rPr>
      </w:pPr>
      <w:r w:rsidRPr="000E1DB7">
        <w:rPr>
          <w:rFonts w:ascii="Times New Roman" w:hAnsi="Times New Roman"/>
          <w:b/>
          <w:color w:val="auto"/>
          <w:sz w:val="28"/>
          <w:szCs w:val="24"/>
        </w:rPr>
        <w:t>K čl. II</w:t>
      </w:r>
      <w:r>
        <w:rPr>
          <w:rFonts w:ascii="Times New Roman" w:hAnsi="Times New Roman"/>
          <w:b/>
          <w:color w:val="auto"/>
          <w:sz w:val="28"/>
          <w:szCs w:val="24"/>
        </w:rPr>
        <w:t xml:space="preserve"> – přechodné ustanovení</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Navrhuje se přechodné ustanovení, jehož cílem je vymezit vztah mezi dosavadní právní úpravou upravující penále ve výši 20 % (srov. § 251 daňového řádu) a novou právní úpravou, podle níž při naplnění podmínek zakotvených v § 38zb vzniká penále ve výši 50 %, resp. 100</w:t>
      </w:r>
      <w:r w:rsidR="00F44720">
        <w:rPr>
          <w:rFonts w:ascii="Times New Roman" w:hAnsi="Times New Roman"/>
          <w:color w:val="auto"/>
          <w:szCs w:val="24"/>
        </w:rPr>
        <w:t> </w:t>
      </w:r>
      <w:r w:rsidRPr="000E1DB7">
        <w:rPr>
          <w:rFonts w:ascii="Times New Roman" w:hAnsi="Times New Roman"/>
          <w:color w:val="auto"/>
          <w:szCs w:val="24"/>
        </w:rPr>
        <w:t>%. S ohledem na zásadu zákazu zpětného působení právních norem by se vyšší penále dotklo pouze těch poplatníků, kteří svou povinnost tvrdit daň ve správné výši, nesplní po účinnosti nové právní úpravy. Poplatníci tak mají možnost předejít vzniku sankce tím, že splní svou povinnost podat řádné nebo dodatečné přiznání a v tomto svém tvrzení vyčíslí svou daň v zákonem stanovené výši. Lhůta k podání řádného či dodatečného daňového přiznání je primárně stanovena zákonem (srov. § 136 a § 141 daňového řádu), ale může být též stanovena správcem daně (srov. § 145 daňového řádu). Z hlediska ochrany právní jistoty a legitimního očekávání je garantováno, že nová (přísnější) sankce bude aplikována pouze tam, kde ke splnění povinnosti nedojde za účinnosti nové právní úpravy (bez ohledu na to, že původ protiprávního chování může sahat i do období před účinností nové právní úpravy).</w:t>
      </w:r>
    </w:p>
    <w:p w:rsidR="000E1DB7" w:rsidRPr="000E1DB7" w:rsidRDefault="000E1DB7" w:rsidP="000E1DB7">
      <w:pPr>
        <w:pStyle w:val="Dvodovzprva"/>
        <w:widowControl w:val="0"/>
        <w:suppressAutoHyphens/>
        <w:spacing w:after="120"/>
        <w:rPr>
          <w:rFonts w:ascii="Times New Roman" w:hAnsi="Times New Roman"/>
          <w:b/>
          <w:color w:val="auto"/>
          <w:sz w:val="28"/>
          <w:szCs w:val="24"/>
        </w:rPr>
      </w:pPr>
      <w:r w:rsidRPr="000E1DB7">
        <w:rPr>
          <w:rFonts w:ascii="Times New Roman" w:hAnsi="Times New Roman"/>
          <w:b/>
          <w:color w:val="auto"/>
          <w:sz w:val="28"/>
          <w:szCs w:val="24"/>
        </w:rPr>
        <w:t>K části druhé - změna trestního zákoníku</w:t>
      </w:r>
    </w:p>
    <w:p w:rsidR="000E1DB7" w:rsidRPr="000E1DB7" w:rsidRDefault="000E1DB7" w:rsidP="000E1DB7">
      <w:pPr>
        <w:pStyle w:val="Dvodovzprva"/>
        <w:widowControl w:val="0"/>
        <w:rPr>
          <w:rFonts w:ascii="Times New Roman" w:hAnsi="Times New Roman"/>
          <w:b/>
          <w:color w:val="auto"/>
          <w:sz w:val="28"/>
          <w:szCs w:val="24"/>
        </w:rPr>
      </w:pPr>
      <w:r w:rsidRPr="000E1DB7">
        <w:rPr>
          <w:rFonts w:ascii="Times New Roman" w:hAnsi="Times New Roman"/>
          <w:b/>
          <w:color w:val="auto"/>
          <w:sz w:val="28"/>
          <w:szCs w:val="24"/>
        </w:rPr>
        <w:t>K čl. III</w:t>
      </w:r>
    </w:p>
    <w:p w:rsidR="000E1DB7" w:rsidRPr="000E1DB7" w:rsidRDefault="000E1DB7" w:rsidP="000E1DB7">
      <w:pPr>
        <w:pStyle w:val="Dvodovzprva"/>
        <w:keepNext w:val="0"/>
        <w:widowControl w:val="0"/>
        <w:rPr>
          <w:rFonts w:ascii="Times New Roman" w:hAnsi="Times New Roman"/>
          <w:b/>
          <w:color w:val="auto"/>
          <w:szCs w:val="24"/>
        </w:rPr>
      </w:pPr>
      <w:r w:rsidRPr="000E1DB7">
        <w:rPr>
          <w:rFonts w:ascii="Times New Roman" w:hAnsi="Times New Roman"/>
          <w:b/>
          <w:color w:val="auto"/>
          <w:szCs w:val="24"/>
        </w:rPr>
        <w:t>K § 227 odst. 2</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 xml:space="preserve">Navrhovaná změna trestního zákoníku doplňuje tzv. kvalifikovanou skutkovou podstatu trestného činu porušení povinnosti učinit pravdivé prohlášení o majetku. Navržená změna má </w:t>
      </w:r>
      <w:r w:rsidRPr="000E1DB7">
        <w:rPr>
          <w:rFonts w:ascii="Times New Roman" w:hAnsi="Times New Roman"/>
          <w:color w:val="auto"/>
          <w:szCs w:val="24"/>
        </w:rPr>
        <w:lastRenderedPageBreak/>
        <w:t xml:space="preserve">za cíl zejména zefektivnit využití institutu prohlášení o majetku pro potřeby prokazování příjmů, respektive obecněji pro potřeby správy daní a jejího základního cíle. </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Dosavadní skutkovou podstatu tohoto trestného činu lze bezpochyby aplikovat obecně na</w:t>
      </w:r>
      <w:r w:rsidR="009E0531">
        <w:rPr>
          <w:rFonts w:ascii="Times New Roman" w:hAnsi="Times New Roman"/>
          <w:color w:val="auto"/>
          <w:szCs w:val="24"/>
        </w:rPr>
        <w:t> </w:t>
      </w:r>
      <w:r w:rsidRPr="000E1DB7">
        <w:rPr>
          <w:rFonts w:ascii="Times New Roman" w:hAnsi="Times New Roman"/>
          <w:color w:val="auto"/>
          <w:szCs w:val="24"/>
        </w:rPr>
        <w:t>veškerá prohlášení o majetku, jež zná český právní řád, mimo jiné na institut prohlášení o</w:t>
      </w:r>
      <w:r w:rsidR="009E0531">
        <w:rPr>
          <w:rFonts w:ascii="Times New Roman" w:hAnsi="Times New Roman"/>
          <w:color w:val="auto"/>
          <w:szCs w:val="24"/>
        </w:rPr>
        <w:t> </w:t>
      </w:r>
      <w:r w:rsidRPr="000E1DB7">
        <w:rPr>
          <w:rFonts w:ascii="Times New Roman" w:hAnsi="Times New Roman"/>
          <w:color w:val="auto"/>
          <w:szCs w:val="24"/>
        </w:rPr>
        <w:t>majetku podle § 180 daňového řádu. Toto prohlášení o majetku však cílí toliko na daňovou exekuci a není možné jej bez dalšího aplikovat při prokazování příjmů. Pokud by nedošlo k zavedení kvalifikované skutkové podstaty tohoto trestného činu pro účely prokazování příjmů, bylo by i tak možné na předmětné prohlášení o majetku aplikovat dosavadní základní skutkovou podstatu. Nicméně ta se jeví jako nedostatečná s ohledem na potenciální škodlivost, která může být nedostatečným prohlášením o majetku v rámci prokazování příjmů způsobena. Dosavadní skutková podstata by tak v tomto ohledu neměla dostatečný preventivní účinek, který by motivoval poplatníky, aby správci daně uváděli údaje týkající se jejich majetku (popřípadě další požadované údaje), neboť odhalení ze strany státu pro ně může znamenat významné snížení tohoto majetku (tím, že dojde ke zdanění zatajených příjmů), jakož i možné odhalení, že byl spáchán trestný čin zkrácení daně, poplatku a podobné povinné platby podle § 240 trestního zákoníku.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Kvalifikovaná skutková podstata je oproti základní skutkové podstatě modifikována tak, že</w:t>
      </w:r>
      <w:r w:rsidR="009E0531">
        <w:rPr>
          <w:rFonts w:ascii="Times New Roman" w:hAnsi="Times New Roman"/>
          <w:color w:val="auto"/>
          <w:szCs w:val="24"/>
        </w:rPr>
        <w:t> </w:t>
      </w:r>
      <w:r w:rsidRPr="000E1DB7">
        <w:rPr>
          <w:rFonts w:ascii="Times New Roman" w:hAnsi="Times New Roman"/>
          <w:color w:val="auto"/>
          <w:szCs w:val="24"/>
        </w:rPr>
        <w:t>cílí pouze na prohlášení o majetku používané pro účely prokazování příjmů dle zákona upravujícího daně z příjmů (§ 38zc a následující). Nebude jí tedy možné aplikovat na jiné druhy prohlášení o majetku (jako je právě „exekuční“ prohlášení o majetku dle § 180 daňového řádu nebo prohlášení o majetku podle občanského soudního řádu aj.).</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 odstavci 2 je navrženo explicitně stanovit, že trestný čin je nutné spáchat úmyslně. Vzhledem k tomu, že se jedná o kvalifikovanou skutkovou podstatu, je nutné reflektovat ustanovení § 17 písm. a) trestního zákoníku, které uvádí: „</w:t>
      </w:r>
      <w:r w:rsidRPr="000E1DB7">
        <w:rPr>
          <w:rFonts w:ascii="Times New Roman" w:hAnsi="Times New Roman"/>
          <w:i/>
          <w:color w:val="auto"/>
          <w:szCs w:val="24"/>
        </w:rPr>
        <w:t>K okolnosti, která podmiňuje použití vyšší trestní sazby, se přihlédne, jde-li o těžší následek, i tehdy, zavinil-li jej pachatel z</w:t>
      </w:r>
      <w:r w:rsidR="009E0531">
        <w:rPr>
          <w:rFonts w:ascii="Times New Roman" w:hAnsi="Times New Roman"/>
          <w:i/>
          <w:color w:val="auto"/>
          <w:szCs w:val="24"/>
        </w:rPr>
        <w:t> </w:t>
      </w:r>
      <w:r w:rsidRPr="000E1DB7">
        <w:rPr>
          <w:rFonts w:ascii="Times New Roman" w:hAnsi="Times New Roman"/>
          <w:i/>
          <w:color w:val="auto"/>
          <w:szCs w:val="24"/>
        </w:rPr>
        <w:t>nedbalosti, vyjímaje případy, že trestní zákon vyžaduje i zde zavinění úmyslné,“.</w:t>
      </w:r>
      <w:r w:rsidRPr="000E1DB7">
        <w:rPr>
          <w:rFonts w:ascii="Times New Roman" w:hAnsi="Times New Roman"/>
          <w:color w:val="auto"/>
          <w:szCs w:val="24"/>
        </w:rPr>
        <w:t xml:space="preserve"> Toto řešení odpovídá sledovanému cíli, kterým je postihnout osoby, které se záměrně vyhýbají tomu, aby</w:t>
      </w:r>
      <w:r w:rsidR="009E0531">
        <w:rPr>
          <w:rFonts w:ascii="Times New Roman" w:hAnsi="Times New Roman"/>
          <w:color w:val="auto"/>
          <w:szCs w:val="24"/>
        </w:rPr>
        <w:t> </w:t>
      </w:r>
      <w:r w:rsidRPr="000E1DB7">
        <w:rPr>
          <w:rFonts w:ascii="Times New Roman" w:hAnsi="Times New Roman"/>
          <w:color w:val="auto"/>
          <w:szCs w:val="24"/>
        </w:rPr>
        <w:t>uvedly úplné a pravdivé údaje o svém majetku, s vědomím toho, že jde o majetek (příjem) nezdaněný, popřípadě nelegální.</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Hranice trestu odnětí svobody se navrhuje ve výši 1 rok až 4 léta. Stanovení sazby horní hranice trestu odnětí svobody na 4 léta vyjadřuje vztah této kvalifikované skutkové podstaty k</w:t>
      </w:r>
      <w:r w:rsidR="009E0531">
        <w:rPr>
          <w:rFonts w:ascii="Times New Roman" w:hAnsi="Times New Roman"/>
          <w:color w:val="auto"/>
          <w:szCs w:val="24"/>
        </w:rPr>
        <w:t> </w:t>
      </w:r>
      <w:r w:rsidRPr="000E1DB7">
        <w:rPr>
          <w:rFonts w:ascii="Times New Roman" w:hAnsi="Times New Roman"/>
          <w:color w:val="auto"/>
          <w:szCs w:val="24"/>
        </w:rPr>
        <w:t>§ 243 odst. 2 trestního zákoníku, které upravuje kvalifikovanou skutkovou podstatu trestného činu „</w:t>
      </w:r>
      <w:r w:rsidRPr="000E1DB7">
        <w:rPr>
          <w:rFonts w:ascii="Times New Roman" w:hAnsi="Times New Roman"/>
          <w:i/>
          <w:color w:val="auto"/>
          <w:szCs w:val="24"/>
        </w:rPr>
        <w:t>nesplnění oznamovací povinnosti v daňovém řízení</w:t>
      </w:r>
      <w:r w:rsidRPr="000E1DB7">
        <w:rPr>
          <w:rFonts w:ascii="Times New Roman" w:hAnsi="Times New Roman"/>
          <w:color w:val="auto"/>
          <w:szCs w:val="24"/>
        </w:rPr>
        <w:t>“. Z hlediska materiálního vyjadřuje zmíněná kvalifikovaná skutková podstata srovnatelnou míru společenské škodlivosti, přičemž cílí na stejný objekt trestného činu (chráněný zájem), kterým je zájem na včasném a řádném stanovení daně.</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Zároveň takto stanovená horní hranice trestu odnětí svobody s ohledem na obecná pravidla trestního řízení určuje, že řízení o tomto trestném činu bude v první instanci vedeno před okresním soudem a bude o něm rozhodovat samosoudce (viz § 16 a 314a trestního řádu). V jistých případech bude možné o tomto trestném činu rozhodnout trestním příkazem, což</w:t>
      </w:r>
      <w:r w:rsidR="009E0531">
        <w:rPr>
          <w:rFonts w:ascii="Times New Roman" w:hAnsi="Times New Roman"/>
          <w:color w:val="auto"/>
          <w:szCs w:val="24"/>
        </w:rPr>
        <w:t> </w:t>
      </w:r>
      <w:r w:rsidRPr="000E1DB7">
        <w:rPr>
          <w:rFonts w:ascii="Times New Roman" w:hAnsi="Times New Roman"/>
          <w:color w:val="auto"/>
          <w:szCs w:val="24"/>
        </w:rPr>
        <w:t>umožní vyšší míru flexibility celého řízení. Promlčecí doba pro tuto kvalifikovanou podstatu bude činit 5 let.</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Nově navržený odstavec 2 explicitně předpokládá možnost uložení peněžitého trestu. To</w:t>
      </w:r>
      <w:r w:rsidR="009E0531">
        <w:rPr>
          <w:rFonts w:ascii="Times New Roman" w:hAnsi="Times New Roman"/>
          <w:color w:val="auto"/>
          <w:szCs w:val="24"/>
        </w:rPr>
        <w:t> </w:t>
      </w:r>
      <w:r w:rsidRPr="000E1DB7">
        <w:rPr>
          <w:rFonts w:ascii="Times New Roman" w:hAnsi="Times New Roman"/>
          <w:color w:val="auto"/>
          <w:szCs w:val="24"/>
        </w:rPr>
        <w:t>odpovídá charakteru prohlášení o majetku podle zákona o daních z příjmů, který necílí na dlužníky, u nichž by se peněžitý trest často míjel účinkem, ale naopak na osoby, které</w:t>
      </w:r>
      <w:r w:rsidR="009E0531">
        <w:rPr>
          <w:rFonts w:ascii="Times New Roman" w:hAnsi="Times New Roman"/>
          <w:color w:val="auto"/>
          <w:szCs w:val="24"/>
        </w:rPr>
        <w:t> </w:t>
      </w:r>
      <w:r w:rsidRPr="000E1DB7">
        <w:rPr>
          <w:rFonts w:ascii="Times New Roman" w:hAnsi="Times New Roman"/>
          <w:color w:val="auto"/>
          <w:szCs w:val="24"/>
        </w:rPr>
        <w:t>disponují značným majetkem. Při naplnění kvalifikované skutkové podstaty tak dojde k naplnění standardní podmínky pro možnost uložení tohoto druhu trestu, a to, že „</w:t>
      </w:r>
      <w:r w:rsidRPr="000E1DB7">
        <w:rPr>
          <w:rFonts w:ascii="Times New Roman" w:hAnsi="Times New Roman"/>
          <w:i/>
          <w:color w:val="auto"/>
          <w:szCs w:val="24"/>
        </w:rPr>
        <w:t xml:space="preserve">pachatel </w:t>
      </w:r>
      <w:r w:rsidRPr="000E1DB7">
        <w:rPr>
          <w:rFonts w:ascii="Times New Roman" w:hAnsi="Times New Roman"/>
          <w:i/>
          <w:color w:val="auto"/>
          <w:szCs w:val="24"/>
        </w:rPr>
        <w:lastRenderedPageBreak/>
        <w:t>pro sebe nebo pro jiného úmyslným trestným činem získal nebo se snažil získat majetkový prospěch</w:t>
      </w:r>
      <w:r w:rsidRPr="000E1DB7">
        <w:rPr>
          <w:rFonts w:ascii="Times New Roman" w:hAnsi="Times New Roman"/>
          <w:color w:val="auto"/>
          <w:szCs w:val="24"/>
        </w:rPr>
        <w:t>“ (viz § 67 odst. 1 trestního zákoníku).</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V souladu s § 33 trestního zákoníku se na trestný čin porušení povinnosti učinit pravdivé prohlášení o majetku podle § 227 (tedy i podle nově navrženého odstavce 2) bude vztahovat obecné pravidlo o účinné lítosti.</w:t>
      </w:r>
    </w:p>
    <w:p w:rsidR="000E1DB7" w:rsidRPr="000E1DB7" w:rsidRDefault="000E1DB7" w:rsidP="000E1DB7">
      <w:pPr>
        <w:pStyle w:val="Dvodovzprva"/>
        <w:keepNext w:val="0"/>
        <w:rPr>
          <w:rFonts w:ascii="Times New Roman" w:hAnsi="Times New Roman"/>
          <w:color w:val="auto"/>
          <w:szCs w:val="24"/>
        </w:rPr>
      </w:pPr>
      <w:r w:rsidRPr="000E1DB7">
        <w:rPr>
          <w:rFonts w:ascii="Times New Roman" w:hAnsi="Times New Roman"/>
          <w:color w:val="auto"/>
          <w:szCs w:val="24"/>
        </w:rPr>
        <w:t>Součástí navrženého zákona není novela zákona č. 418/2011 Sb., o trestní odpovědnosti právnických osob a řízení proti nim, ve znění pozdějších předpisů. V poslanecké sněmovně se</w:t>
      </w:r>
      <w:r w:rsidR="00221EB3">
        <w:rPr>
          <w:rFonts w:ascii="Times New Roman" w:hAnsi="Times New Roman"/>
          <w:color w:val="auto"/>
          <w:szCs w:val="24"/>
        </w:rPr>
        <w:t> </w:t>
      </w:r>
      <w:r w:rsidRPr="000E1DB7">
        <w:rPr>
          <w:rFonts w:ascii="Times New Roman" w:hAnsi="Times New Roman"/>
          <w:color w:val="auto"/>
          <w:szCs w:val="24"/>
        </w:rPr>
        <w:t xml:space="preserve">v současné době nachází novela tohoto zákona (sněmovní tisk 304), jejímž cílem je změna koncepce týkající se rozsahu působnosti trestněprávní odpovědnosti právnických osob. Důsledkem této změny bude zařazení trestného činu podle § 227 trestního zákoníku mezi trestné činy, za jejichž spáchání může být trestně-odpovědná i právnická osoba. </w:t>
      </w:r>
    </w:p>
    <w:p w:rsidR="000E1DB7" w:rsidRPr="000E1DB7" w:rsidRDefault="000E1DB7" w:rsidP="000E1DB7">
      <w:pPr>
        <w:pStyle w:val="Dvodovzprva"/>
        <w:widowControl w:val="0"/>
        <w:suppressAutoHyphens/>
        <w:spacing w:after="120"/>
        <w:rPr>
          <w:rFonts w:ascii="Times New Roman" w:hAnsi="Times New Roman"/>
          <w:b/>
          <w:color w:val="auto"/>
          <w:sz w:val="28"/>
          <w:szCs w:val="24"/>
        </w:rPr>
      </w:pPr>
      <w:r w:rsidRPr="000E1DB7">
        <w:rPr>
          <w:rFonts w:ascii="Times New Roman" w:hAnsi="Times New Roman"/>
          <w:b/>
          <w:color w:val="auto"/>
          <w:sz w:val="28"/>
          <w:szCs w:val="24"/>
        </w:rPr>
        <w:t xml:space="preserve">K části třetí - Účinnost </w:t>
      </w:r>
    </w:p>
    <w:p w:rsidR="000E1DB7" w:rsidRPr="000E1DB7" w:rsidRDefault="000E1DB7" w:rsidP="000E1DB7">
      <w:pPr>
        <w:pStyle w:val="Dvodovzprva"/>
        <w:widowControl w:val="0"/>
        <w:rPr>
          <w:rFonts w:ascii="Times New Roman" w:hAnsi="Times New Roman"/>
          <w:b/>
          <w:color w:val="auto"/>
          <w:sz w:val="28"/>
          <w:szCs w:val="24"/>
        </w:rPr>
      </w:pPr>
      <w:r w:rsidRPr="000E1DB7">
        <w:rPr>
          <w:rFonts w:ascii="Times New Roman" w:hAnsi="Times New Roman"/>
          <w:b/>
          <w:color w:val="auto"/>
          <w:sz w:val="28"/>
          <w:szCs w:val="24"/>
        </w:rPr>
        <w:t>K čl. IV</w:t>
      </w:r>
    </w:p>
    <w:p w:rsidR="000E1DB7" w:rsidRPr="000E1DB7" w:rsidRDefault="000E1DB7" w:rsidP="000E1DB7">
      <w:pPr>
        <w:pStyle w:val="Dvodovzprva"/>
        <w:rPr>
          <w:rFonts w:ascii="Times New Roman" w:hAnsi="Times New Roman"/>
          <w:color w:val="auto"/>
          <w:szCs w:val="24"/>
        </w:rPr>
      </w:pPr>
      <w:r w:rsidRPr="000E1DB7">
        <w:rPr>
          <w:rFonts w:ascii="Times New Roman" w:hAnsi="Times New Roman"/>
          <w:color w:val="auto"/>
          <w:szCs w:val="24"/>
        </w:rPr>
        <w:t>Cílovou skupinou, vůči níž jsou navrhovaná ustanovení směřována, jsou poplatníci daní z příjmů, a to jak daňoví rezidenti České republiky (viz § 2 odst. 2 a § 17 odst. 4), tak daňoví nerezidenti (viz § 2 odst. 3 a § 17 odst. 4). Půjde tedy jak o fyzické, tak právnické osoby, jakož i jiné entity, které jsou na základě zákona o daních z příjmů poplatníkem. Ačkoli praktický dopad se předpokládá zejména na osoby fyzické, je nutné dané mechanismy zacílit dostatečně široce, aby právní úprava nezavdávala příčiny k jejímu obcházení prostřednictvím transferu majetku na jiné entity. Použitý mechanismus není namířen na plátce daně, kteří jsou z hlediska konstrukce daní z příjmů pouze subjekty, které pod vlastní majetkovou odpovědností odvádí daň vybranou či sraženou poplatníkům.</w:t>
      </w:r>
    </w:p>
    <w:p w:rsidR="002E50F0" w:rsidRPr="000E1DB7" w:rsidRDefault="002E50F0" w:rsidP="0050543B">
      <w:pPr>
        <w:pStyle w:val="DTlotextu1"/>
        <w:spacing w:before="0"/>
        <w:rPr>
          <w:b/>
          <w:bCs/>
          <w:iCs/>
        </w:rPr>
      </w:pPr>
    </w:p>
    <w:sectPr w:rsidR="002E50F0" w:rsidRPr="000E1DB7" w:rsidSect="006F2452">
      <w:headerReference w:type="even" r:id="rId13"/>
      <w:headerReference w:type="default" r:id="rId14"/>
      <w:headerReference w:type="first" r:id="rId15"/>
      <w:pgSz w:w="11906" w:h="16838"/>
      <w:pgMar w:top="1417" w:right="1417" w:bottom="1417" w:left="1417" w:header="708" w:footer="708" w:gutter="0"/>
      <w:pgNumType w:fmt="numberInDash"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7752" w:rsidRDefault="00727752">
      <w:r>
        <w:separator/>
      </w:r>
    </w:p>
  </w:endnote>
  <w:endnote w:type="continuationSeparator" w:id="0">
    <w:p w:rsidR="00727752" w:rsidRDefault="00727752">
      <w:r>
        <w:continuationSeparator/>
      </w:r>
    </w:p>
  </w:endnote>
  <w:endnote w:type="continuationNotice" w:id="1">
    <w:p w:rsidR="00727752" w:rsidRDefault="007277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5F" w:usb2="00000000" w:usb3="00000000" w:csb0="0000019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7752" w:rsidRDefault="00727752">
      <w:r>
        <w:separator/>
      </w:r>
    </w:p>
  </w:footnote>
  <w:footnote w:type="continuationSeparator" w:id="0">
    <w:p w:rsidR="00727752" w:rsidRDefault="00727752">
      <w:r>
        <w:continuationSeparator/>
      </w:r>
    </w:p>
  </w:footnote>
  <w:footnote w:type="continuationNotice" w:id="1">
    <w:p w:rsidR="00727752" w:rsidRDefault="0072775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ED3" w:rsidRDefault="00780ED3" w:rsidP="00D03EEC">
    <w:pPr>
      <w:pStyle w:val="Zhlav"/>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end"/>
    </w:r>
  </w:p>
  <w:p w:rsidR="00780ED3" w:rsidRDefault="00780ED3">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ED3" w:rsidRPr="002E1641" w:rsidRDefault="00780ED3" w:rsidP="003317D1">
    <w:pPr>
      <w:jc w:val="center"/>
      <w:rPr>
        <w:rFonts w:cs="Arial"/>
        <w:b/>
        <w:bCs/>
        <w:iCs/>
        <w:szCs w:val="28"/>
      </w:rPr>
    </w:pPr>
    <w:r>
      <w:rPr>
        <w:rStyle w:val="slostrnky"/>
      </w:rPr>
      <w:fldChar w:fldCharType="begin"/>
    </w:r>
    <w:r>
      <w:rPr>
        <w:rStyle w:val="slostrnky"/>
      </w:rPr>
      <w:instrText xml:space="preserve">PAGE  </w:instrText>
    </w:r>
    <w:r>
      <w:rPr>
        <w:rStyle w:val="slostrnky"/>
      </w:rPr>
      <w:fldChar w:fldCharType="separate"/>
    </w:r>
    <w:r w:rsidR="00562835">
      <w:rPr>
        <w:rStyle w:val="slostrnky"/>
        <w:noProof/>
      </w:rPr>
      <w:t>- 50 -</w:t>
    </w:r>
    <w:r>
      <w:rPr>
        <w:rStyle w:val="slostrnky"/>
      </w:rPr>
      <w:fldChar w:fldCharType="end"/>
    </w:r>
  </w:p>
  <w:p w:rsidR="00780ED3" w:rsidRDefault="00780ED3">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0ED3" w:rsidRPr="00696FB6" w:rsidRDefault="00696FB6" w:rsidP="00696FB6">
    <w:pPr>
      <w:pStyle w:val="Zhlav"/>
      <w:jc w:val="right"/>
      <w:rPr>
        <w:b/>
      </w:rPr>
    </w:pPr>
    <w:r w:rsidRPr="00696FB6">
      <w:rPr>
        <w:b/>
      </w:rPr>
      <w:t>IV.</w:t>
    </w:r>
  </w:p>
  <w:p w:rsidR="00780ED3" w:rsidRDefault="00780ED3">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378CE"/>
    <w:multiLevelType w:val="singleLevel"/>
    <w:tmpl w:val="4D58B58E"/>
    <w:lvl w:ilvl="0">
      <w:start w:val="1"/>
      <w:numFmt w:val="decimal"/>
      <w:pStyle w:val="Textpozmn"/>
      <w:lvlText w:val="%1."/>
      <w:lvlJc w:val="left"/>
      <w:pPr>
        <w:tabs>
          <w:tab w:val="num" w:pos="425"/>
        </w:tabs>
        <w:ind w:left="425" w:hanging="425"/>
      </w:pPr>
      <w:rPr>
        <w:rFonts w:cs="Times New Roman"/>
      </w:rPr>
    </w:lvl>
  </w:abstractNum>
  <w:abstractNum w:abstractNumId="1">
    <w:nsid w:val="06092730"/>
    <w:multiLevelType w:val="singleLevel"/>
    <w:tmpl w:val="1C926EF8"/>
    <w:lvl w:ilvl="0">
      <w:start w:val="1"/>
      <w:numFmt w:val="upperLetter"/>
      <w:pStyle w:val="Oznaenpozmn"/>
      <w:lvlText w:val="%1."/>
      <w:lvlJc w:val="left"/>
      <w:pPr>
        <w:tabs>
          <w:tab w:val="num" w:pos="425"/>
        </w:tabs>
        <w:ind w:left="425" w:hanging="425"/>
      </w:pPr>
      <w:rPr>
        <w:rFonts w:cs="Times New Roman"/>
      </w:rPr>
    </w:lvl>
  </w:abstractNum>
  <w:abstractNum w:abstractNumId="2">
    <w:nsid w:val="073823E9"/>
    <w:multiLevelType w:val="hybridMultilevel"/>
    <w:tmpl w:val="152ED226"/>
    <w:lvl w:ilvl="0" w:tplc="966C2E98">
      <w:start w:val="1"/>
      <w:numFmt w:val="lowerRoman"/>
      <w:pStyle w:val="Dslovnmsksla"/>
      <w:lvlText w:val="%1."/>
      <w:lvlJc w:val="right"/>
      <w:pPr>
        <w:ind w:left="720" w:hanging="360"/>
      </w:pPr>
      <w:rPr>
        <w:rFonts w:cs="Times New Roman"/>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
    <w:nsid w:val="0C473890"/>
    <w:multiLevelType w:val="hybridMultilevel"/>
    <w:tmpl w:val="51104BE6"/>
    <w:lvl w:ilvl="0" w:tplc="E098CFEC">
      <w:start w:val="1"/>
      <w:numFmt w:val="upperLetter"/>
      <w:pStyle w:val="slovanseznam4"/>
      <w:lvlText w:val="%1."/>
      <w:lvlJc w:val="left"/>
      <w:pPr>
        <w:tabs>
          <w:tab w:val="num" w:pos="1429"/>
        </w:tabs>
        <w:ind w:left="1429" w:hanging="357"/>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4">
    <w:nsid w:val="0F3D36EA"/>
    <w:multiLevelType w:val="hybridMultilevel"/>
    <w:tmpl w:val="DBA86154"/>
    <w:lvl w:ilvl="0" w:tplc="0405000F">
      <w:start w:val="1"/>
      <w:numFmt w:val="decimal"/>
      <w:lvlText w:val="%1."/>
      <w:lvlJc w:val="left"/>
      <w:pPr>
        <w:tabs>
          <w:tab w:val="num" w:pos="720"/>
        </w:tabs>
        <w:ind w:left="720" w:hanging="360"/>
      </w:p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123B1BF3"/>
    <w:multiLevelType w:val="hybridMultilevel"/>
    <w:tmpl w:val="D57A52D6"/>
    <w:lvl w:ilvl="0" w:tplc="A802CEAA">
      <w:start w:val="1"/>
      <w:numFmt w:val="bullet"/>
      <w:pStyle w:val="neslovanseznam2"/>
      <w:lvlText w:val="o"/>
      <w:lvlJc w:val="left"/>
      <w:pPr>
        <w:tabs>
          <w:tab w:val="num" w:pos="717"/>
        </w:tabs>
        <w:ind w:left="717" w:hanging="360"/>
      </w:pPr>
      <w:rPr>
        <w:rFonts w:ascii="Courier New" w:hAnsi="Courier New" w:hint="default"/>
      </w:rPr>
    </w:lvl>
    <w:lvl w:ilvl="1" w:tplc="04050019">
      <w:start w:val="1"/>
      <w:numFmt w:val="lowerLetter"/>
      <w:lvlText w:val="%2."/>
      <w:lvlJc w:val="left"/>
      <w:pPr>
        <w:tabs>
          <w:tab w:val="num" w:pos="1428"/>
        </w:tabs>
        <w:ind w:left="1428" w:hanging="360"/>
      </w:pPr>
      <w:rPr>
        <w:rFonts w:cs="Times New Roman"/>
      </w:rPr>
    </w:lvl>
    <w:lvl w:ilvl="2" w:tplc="0405001B">
      <w:start w:val="1"/>
      <w:numFmt w:val="lowerRoman"/>
      <w:lvlText w:val="%3."/>
      <w:lvlJc w:val="right"/>
      <w:pPr>
        <w:tabs>
          <w:tab w:val="num" w:pos="2148"/>
        </w:tabs>
        <w:ind w:left="2148" w:hanging="180"/>
      </w:pPr>
      <w:rPr>
        <w:rFonts w:cs="Times New Roman"/>
      </w:rPr>
    </w:lvl>
    <w:lvl w:ilvl="3" w:tplc="0405000F" w:tentative="1">
      <w:start w:val="1"/>
      <w:numFmt w:val="decimal"/>
      <w:lvlText w:val="%4."/>
      <w:lvlJc w:val="left"/>
      <w:pPr>
        <w:tabs>
          <w:tab w:val="num" w:pos="2868"/>
        </w:tabs>
        <w:ind w:left="2868" w:hanging="360"/>
      </w:pPr>
      <w:rPr>
        <w:rFonts w:cs="Times New Roman"/>
      </w:rPr>
    </w:lvl>
    <w:lvl w:ilvl="4" w:tplc="04050019" w:tentative="1">
      <w:start w:val="1"/>
      <w:numFmt w:val="lowerLetter"/>
      <w:lvlText w:val="%5."/>
      <w:lvlJc w:val="left"/>
      <w:pPr>
        <w:tabs>
          <w:tab w:val="num" w:pos="3588"/>
        </w:tabs>
        <w:ind w:left="3588" w:hanging="360"/>
      </w:pPr>
      <w:rPr>
        <w:rFonts w:cs="Times New Roman"/>
      </w:rPr>
    </w:lvl>
    <w:lvl w:ilvl="5" w:tplc="0405001B" w:tentative="1">
      <w:start w:val="1"/>
      <w:numFmt w:val="lowerRoman"/>
      <w:lvlText w:val="%6."/>
      <w:lvlJc w:val="right"/>
      <w:pPr>
        <w:tabs>
          <w:tab w:val="num" w:pos="4308"/>
        </w:tabs>
        <w:ind w:left="4308" w:hanging="180"/>
      </w:pPr>
      <w:rPr>
        <w:rFonts w:cs="Times New Roman"/>
      </w:rPr>
    </w:lvl>
    <w:lvl w:ilvl="6" w:tplc="0405000F" w:tentative="1">
      <w:start w:val="1"/>
      <w:numFmt w:val="decimal"/>
      <w:lvlText w:val="%7."/>
      <w:lvlJc w:val="left"/>
      <w:pPr>
        <w:tabs>
          <w:tab w:val="num" w:pos="5028"/>
        </w:tabs>
        <w:ind w:left="5028" w:hanging="360"/>
      </w:pPr>
      <w:rPr>
        <w:rFonts w:cs="Times New Roman"/>
      </w:rPr>
    </w:lvl>
    <w:lvl w:ilvl="7" w:tplc="04050019" w:tentative="1">
      <w:start w:val="1"/>
      <w:numFmt w:val="lowerLetter"/>
      <w:lvlText w:val="%8."/>
      <w:lvlJc w:val="left"/>
      <w:pPr>
        <w:tabs>
          <w:tab w:val="num" w:pos="5748"/>
        </w:tabs>
        <w:ind w:left="5748" w:hanging="360"/>
      </w:pPr>
      <w:rPr>
        <w:rFonts w:cs="Times New Roman"/>
      </w:rPr>
    </w:lvl>
    <w:lvl w:ilvl="8" w:tplc="0405001B" w:tentative="1">
      <w:start w:val="1"/>
      <w:numFmt w:val="lowerRoman"/>
      <w:lvlText w:val="%9."/>
      <w:lvlJc w:val="right"/>
      <w:pPr>
        <w:tabs>
          <w:tab w:val="num" w:pos="6468"/>
        </w:tabs>
        <w:ind w:left="6468" w:hanging="180"/>
      </w:pPr>
      <w:rPr>
        <w:rFonts w:cs="Times New Roman"/>
      </w:rPr>
    </w:lvl>
  </w:abstractNum>
  <w:abstractNum w:abstractNumId="6">
    <w:nsid w:val="15DE17BB"/>
    <w:multiLevelType w:val="multilevel"/>
    <w:tmpl w:val="15CEFB46"/>
    <w:lvl w:ilvl="0">
      <w:start w:val="1"/>
      <w:numFmt w:val="upperLetter"/>
      <w:lvlText w:val="%1."/>
      <w:lvlJc w:val="left"/>
      <w:pPr>
        <w:tabs>
          <w:tab w:val="num" w:pos="567"/>
        </w:tabs>
        <w:ind w:left="567" w:hanging="567"/>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tabs>
          <w:tab w:val="num" w:pos="1134"/>
        </w:tabs>
        <w:ind w:left="567" w:hanging="567"/>
      </w:pPr>
      <w:rPr>
        <w:rFonts w:ascii="Times New Roman" w:hAnsi="Times New Roman" w:cs="Times New Roman" w:hint="default"/>
        <w:b/>
        <w:i w:val="0"/>
        <w:color w:val="auto"/>
        <w:sz w:val="28"/>
      </w:rPr>
    </w:lvl>
    <w:lvl w:ilvl="2">
      <w:start w:val="1"/>
      <w:numFmt w:val="decimal"/>
      <w:lvlText w:val="%3."/>
      <w:lvlJc w:val="left"/>
      <w:pPr>
        <w:tabs>
          <w:tab w:val="num" w:pos="720"/>
        </w:tabs>
        <w:ind w:left="720" w:hanging="360"/>
      </w:pPr>
      <w:rPr>
        <w:rFonts w:cs="Times New Roman" w:hint="default"/>
        <w:i w:val="0"/>
        <w:iCs w:val="0"/>
        <w:caps w:val="0"/>
        <w:smallCaps w:val="0"/>
        <w:strike w:val="0"/>
        <w:dstrike w:val="0"/>
        <w:vanish w:val="0"/>
        <w:color w:val="000000"/>
        <w:spacing w:val="0"/>
        <w:kern w:val="0"/>
        <w:position w:val="0"/>
        <w:u w:val="none"/>
        <w:vertAlign w:val="baseline"/>
      </w:rPr>
    </w:lvl>
    <w:lvl w:ilvl="3">
      <w:start w:val="1"/>
      <w:numFmt w:val="decimal"/>
      <w:lvlText w:val="%3.%4."/>
      <w:lvlJc w:val="left"/>
      <w:pPr>
        <w:tabs>
          <w:tab w:val="num" w:pos="851"/>
        </w:tabs>
        <w:ind w:left="851" w:hanging="851"/>
      </w:pPr>
      <w:rPr>
        <w:rFonts w:ascii="Times New Roman" w:hAnsi="Times New Roman" w:cs="Times New Roman" w:hint="default"/>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567"/>
        </w:tabs>
        <w:ind w:left="567" w:hanging="567"/>
      </w:pPr>
      <w:rPr>
        <w:rFonts w:cs="Times New Roman" w:hint="default"/>
      </w:rPr>
    </w:lvl>
    <w:lvl w:ilvl="5">
      <w:start w:val="1"/>
      <w:numFmt w:val="decimal"/>
      <w:lvlText w:val="%1.%2.%3.%4.%5.%6."/>
      <w:lvlJc w:val="left"/>
      <w:pPr>
        <w:tabs>
          <w:tab w:val="num" w:pos="567"/>
        </w:tabs>
        <w:ind w:left="567" w:hanging="567"/>
      </w:pPr>
      <w:rPr>
        <w:rFonts w:cs="Times New Roman" w:hint="default"/>
      </w:rPr>
    </w:lvl>
    <w:lvl w:ilvl="6">
      <w:start w:val="1"/>
      <w:numFmt w:val="decimal"/>
      <w:lvlText w:val="%1.%2.%3.%4.%5.%6.%7."/>
      <w:lvlJc w:val="left"/>
      <w:pPr>
        <w:tabs>
          <w:tab w:val="num" w:pos="567"/>
        </w:tabs>
        <w:ind w:left="567" w:hanging="567"/>
      </w:pPr>
      <w:rPr>
        <w:rFonts w:cs="Times New Roman" w:hint="default"/>
      </w:rPr>
    </w:lvl>
    <w:lvl w:ilvl="7">
      <w:start w:val="1"/>
      <w:numFmt w:val="decimal"/>
      <w:lvlText w:val="%1.%2.%3.%4.%5.%6.%7.%8."/>
      <w:lvlJc w:val="left"/>
      <w:pPr>
        <w:tabs>
          <w:tab w:val="num" w:pos="567"/>
        </w:tabs>
        <w:ind w:left="567" w:hanging="567"/>
      </w:pPr>
      <w:rPr>
        <w:rFonts w:cs="Times New Roman" w:hint="default"/>
      </w:rPr>
    </w:lvl>
    <w:lvl w:ilvl="8">
      <w:start w:val="1"/>
      <w:numFmt w:val="decimal"/>
      <w:lvlText w:val="%1.%2.%3.%4.%5.%6.%7.%8.%9."/>
      <w:lvlJc w:val="left"/>
      <w:pPr>
        <w:tabs>
          <w:tab w:val="num" w:pos="567"/>
        </w:tabs>
        <w:ind w:left="567" w:hanging="567"/>
      </w:pPr>
      <w:rPr>
        <w:rFonts w:cs="Times New Roman" w:hint="default"/>
      </w:rPr>
    </w:lvl>
  </w:abstractNum>
  <w:abstractNum w:abstractNumId="7">
    <w:nsid w:val="19371BD0"/>
    <w:multiLevelType w:val="singleLevel"/>
    <w:tmpl w:val="A920D918"/>
    <w:lvl w:ilvl="0">
      <w:start w:val="1"/>
      <w:numFmt w:val="decimal"/>
      <w:pStyle w:val="Novelizanbod"/>
      <w:lvlText w:val="%1."/>
      <w:lvlJc w:val="left"/>
      <w:pPr>
        <w:tabs>
          <w:tab w:val="num" w:pos="567"/>
        </w:tabs>
        <w:ind w:left="567" w:hanging="567"/>
      </w:pPr>
      <w:rPr>
        <w:rFonts w:cs="Times New Roman"/>
        <w:b/>
        <w:i w:val="0"/>
      </w:rPr>
    </w:lvl>
  </w:abstractNum>
  <w:abstractNum w:abstractNumId="8">
    <w:nsid w:val="1F9378ED"/>
    <w:multiLevelType w:val="hybridMultilevel"/>
    <w:tmpl w:val="884411F0"/>
    <w:lvl w:ilvl="0" w:tplc="6576ECF0">
      <w:start w:val="1"/>
      <w:numFmt w:val="lowerLetter"/>
      <w:lvlText w:val="%1)"/>
      <w:lvlJc w:val="left"/>
      <w:pPr>
        <w:ind w:left="720" w:hanging="360"/>
      </w:pPr>
      <w:rPr>
        <w:rFonts w:cs="Times New Roman"/>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9">
    <w:nsid w:val="28F91AE3"/>
    <w:multiLevelType w:val="hybridMultilevel"/>
    <w:tmpl w:val="3B84AAAC"/>
    <w:lvl w:ilvl="0" w:tplc="04050017">
      <w:start w:val="1"/>
      <w:numFmt w:val="lowerLetter"/>
      <w:lvlText w:val="%1)"/>
      <w:lvlJc w:val="left"/>
      <w:pPr>
        <w:ind w:left="786" w:hanging="360"/>
      </w:pPr>
      <w:rPr>
        <w:rFonts w:hint="default"/>
      </w:rPr>
    </w:lvl>
    <w:lvl w:ilvl="1" w:tplc="04050003" w:tentative="1">
      <w:start w:val="1"/>
      <w:numFmt w:val="bullet"/>
      <w:lvlText w:val="o"/>
      <w:lvlJc w:val="left"/>
      <w:pPr>
        <w:ind w:left="1506" w:hanging="360"/>
      </w:pPr>
      <w:rPr>
        <w:rFonts w:ascii="Courier New" w:hAnsi="Courier New" w:cs="Courier New" w:hint="default"/>
      </w:rPr>
    </w:lvl>
    <w:lvl w:ilvl="2" w:tplc="04050005" w:tentative="1">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10">
    <w:nsid w:val="358F7D0B"/>
    <w:multiLevelType w:val="singleLevel"/>
    <w:tmpl w:val="15A0EFFC"/>
    <w:lvl w:ilvl="0">
      <w:start w:val="1"/>
      <w:numFmt w:val="decimal"/>
      <w:pStyle w:val="Novelizanbodvpozmn"/>
      <w:lvlText w:val="%1."/>
      <w:lvlJc w:val="left"/>
      <w:pPr>
        <w:tabs>
          <w:tab w:val="num" w:pos="851"/>
        </w:tabs>
        <w:ind w:left="851" w:hanging="851"/>
      </w:pPr>
      <w:rPr>
        <w:rFonts w:cs="Times New Roman"/>
      </w:rPr>
    </w:lvl>
  </w:abstractNum>
  <w:abstractNum w:abstractNumId="11">
    <w:nsid w:val="3F207B55"/>
    <w:multiLevelType w:val="hybridMultilevel"/>
    <w:tmpl w:val="CF52265C"/>
    <w:lvl w:ilvl="0" w:tplc="D432FB6A">
      <w:start w:val="1"/>
      <w:numFmt w:val="bullet"/>
      <w:pStyle w:val="neslovanseznam3"/>
      <w:lvlText w:val=""/>
      <w:lvlJc w:val="left"/>
      <w:pPr>
        <w:tabs>
          <w:tab w:val="num" w:pos="1074"/>
        </w:tabs>
        <w:ind w:left="1074" w:hanging="360"/>
      </w:pPr>
      <w:rPr>
        <w:rFonts w:ascii="Symbol" w:hAnsi="Symbol" w:hint="default"/>
        <w:color w:val="auto"/>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2">
    <w:nsid w:val="444C6C4F"/>
    <w:multiLevelType w:val="hybridMultilevel"/>
    <w:tmpl w:val="C2361FAE"/>
    <w:lvl w:ilvl="0" w:tplc="8CFE4CA4">
      <w:start w:val="1"/>
      <w:numFmt w:val="bullet"/>
      <w:pStyle w:val="neslovanseznam4"/>
      <w:lvlText w:val="◊"/>
      <w:lvlJc w:val="left"/>
      <w:pPr>
        <w:tabs>
          <w:tab w:val="num" w:pos="1432"/>
        </w:tabs>
        <w:ind w:left="1432" w:hanging="360"/>
      </w:pPr>
      <w:rPr>
        <w:rFonts w:ascii="Courier New" w:hAnsi="Courier New" w:hint="default"/>
      </w:rPr>
    </w:lvl>
    <w:lvl w:ilvl="1" w:tplc="04050019" w:tentative="1">
      <w:start w:val="1"/>
      <w:numFmt w:val="lowerLetter"/>
      <w:lvlText w:val="%2."/>
      <w:lvlJc w:val="left"/>
      <w:pPr>
        <w:tabs>
          <w:tab w:val="num" w:pos="2869"/>
        </w:tabs>
        <w:ind w:left="2869" w:hanging="360"/>
      </w:pPr>
      <w:rPr>
        <w:rFonts w:cs="Times New Roman"/>
      </w:rPr>
    </w:lvl>
    <w:lvl w:ilvl="2" w:tplc="0405001B" w:tentative="1">
      <w:start w:val="1"/>
      <w:numFmt w:val="lowerRoman"/>
      <w:lvlText w:val="%3."/>
      <w:lvlJc w:val="right"/>
      <w:pPr>
        <w:tabs>
          <w:tab w:val="num" w:pos="3589"/>
        </w:tabs>
        <w:ind w:left="3589" w:hanging="180"/>
      </w:pPr>
      <w:rPr>
        <w:rFonts w:cs="Times New Roman"/>
      </w:rPr>
    </w:lvl>
    <w:lvl w:ilvl="3" w:tplc="0405000F" w:tentative="1">
      <w:start w:val="1"/>
      <w:numFmt w:val="decimal"/>
      <w:lvlText w:val="%4."/>
      <w:lvlJc w:val="left"/>
      <w:pPr>
        <w:tabs>
          <w:tab w:val="num" w:pos="4309"/>
        </w:tabs>
        <w:ind w:left="4309" w:hanging="360"/>
      </w:pPr>
      <w:rPr>
        <w:rFonts w:cs="Times New Roman"/>
      </w:rPr>
    </w:lvl>
    <w:lvl w:ilvl="4" w:tplc="04050019" w:tentative="1">
      <w:start w:val="1"/>
      <w:numFmt w:val="lowerLetter"/>
      <w:lvlText w:val="%5."/>
      <w:lvlJc w:val="left"/>
      <w:pPr>
        <w:tabs>
          <w:tab w:val="num" w:pos="5029"/>
        </w:tabs>
        <w:ind w:left="5029" w:hanging="360"/>
      </w:pPr>
      <w:rPr>
        <w:rFonts w:cs="Times New Roman"/>
      </w:rPr>
    </w:lvl>
    <w:lvl w:ilvl="5" w:tplc="0405001B" w:tentative="1">
      <w:start w:val="1"/>
      <w:numFmt w:val="lowerRoman"/>
      <w:lvlText w:val="%6."/>
      <w:lvlJc w:val="right"/>
      <w:pPr>
        <w:tabs>
          <w:tab w:val="num" w:pos="5749"/>
        </w:tabs>
        <w:ind w:left="5749" w:hanging="180"/>
      </w:pPr>
      <w:rPr>
        <w:rFonts w:cs="Times New Roman"/>
      </w:rPr>
    </w:lvl>
    <w:lvl w:ilvl="6" w:tplc="0405000F" w:tentative="1">
      <w:start w:val="1"/>
      <w:numFmt w:val="decimal"/>
      <w:lvlText w:val="%7."/>
      <w:lvlJc w:val="left"/>
      <w:pPr>
        <w:tabs>
          <w:tab w:val="num" w:pos="6469"/>
        </w:tabs>
        <w:ind w:left="6469" w:hanging="360"/>
      </w:pPr>
      <w:rPr>
        <w:rFonts w:cs="Times New Roman"/>
      </w:rPr>
    </w:lvl>
    <w:lvl w:ilvl="7" w:tplc="04050019" w:tentative="1">
      <w:start w:val="1"/>
      <w:numFmt w:val="lowerLetter"/>
      <w:lvlText w:val="%8."/>
      <w:lvlJc w:val="left"/>
      <w:pPr>
        <w:tabs>
          <w:tab w:val="num" w:pos="7189"/>
        </w:tabs>
        <w:ind w:left="7189" w:hanging="360"/>
      </w:pPr>
      <w:rPr>
        <w:rFonts w:cs="Times New Roman"/>
      </w:rPr>
    </w:lvl>
    <w:lvl w:ilvl="8" w:tplc="0405001B" w:tentative="1">
      <w:start w:val="1"/>
      <w:numFmt w:val="lowerRoman"/>
      <w:lvlText w:val="%9."/>
      <w:lvlJc w:val="right"/>
      <w:pPr>
        <w:tabs>
          <w:tab w:val="num" w:pos="7909"/>
        </w:tabs>
        <w:ind w:left="7909" w:hanging="180"/>
      </w:pPr>
      <w:rPr>
        <w:rFonts w:cs="Times New Roman"/>
      </w:rPr>
    </w:lvl>
  </w:abstractNum>
  <w:abstractNum w:abstractNumId="13">
    <w:nsid w:val="459811CB"/>
    <w:multiLevelType w:val="hybridMultilevel"/>
    <w:tmpl w:val="8B7C9718"/>
    <w:lvl w:ilvl="0" w:tplc="D6147BFA">
      <w:start w:val="1"/>
      <w:numFmt w:val="lowerRoman"/>
      <w:pStyle w:val="slovanseznam3"/>
      <w:lvlText w:val="%1."/>
      <w:lvlJc w:val="left"/>
      <w:pPr>
        <w:tabs>
          <w:tab w:val="num" w:pos="1072"/>
        </w:tabs>
        <w:ind w:left="1074"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4">
    <w:nsid w:val="47E731D0"/>
    <w:multiLevelType w:val="hybridMultilevel"/>
    <w:tmpl w:val="3B84AAAC"/>
    <w:lvl w:ilvl="0" w:tplc="04050017">
      <w:start w:val="1"/>
      <w:numFmt w:val="lowerLetter"/>
      <w:lvlText w:val="%1)"/>
      <w:lvlJc w:val="left"/>
      <w:pPr>
        <w:ind w:left="786" w:hanging="360"/>
      </w:pPr>
      <w:rPr>
        <w:rFonts w:hint="default"/>
      </w:rPr>
    </w:lvl>
    <w:lvl w:ilvl="1" w:tplc="04050003" w:tentative="1">
      <w:start w:val="1"/>
      <w:numFmt w:val="bullet"/>
      <w:lvlText w:val="o"/>
      <w:lvlJc w:val="left"/>
      <w:pPr>
        <w:ind w:left="1506" w:hanging="360"/>
      </w:pPr>
      <w:rPr>
        <w:rFonts w:ascii="Courier New" w:hAnsi="Courier New" w:cs="Courier New" w:hint="default"/>
      </w:rPr>
    </w:lvl>
    <w:lvl w:ilvl="2" w:tplc="04050005">
      <w:start w:val="1"/>
      <w:numFmt w:val="bullet"/>
      <w:lvlText w:val=""/>
      <w:lvlJc w:val="left"/>
      <w:pPr>
        <w:ind w:left="2226" w:hanging="360"/>
      </w:pPr>
      <w:rPr>
        <w:rFonts w:ascii="Wingdings" w:hAnsi="Wingdings" w:hint="default"/>
      </w:rPr>
    </w:lvl>
    <w:lvl w:ilvl="3" w:tplc="04050001" w:tentative="1">
      <w:start w:val="1"/>
      <w:numFmt w:val="bullet"/>
      <w:lvlText w:val=""/>
      <w:lvlJc w:val="left"/>
      <w:pPr>
        <w:ind w:left="2946" w:hanging="360"/>
      </w:pPr>
      <w:rPr>
        <w:rFonts w:ascii="Symbol" w:hAnsi="Symbol" w:hint="default"/>
      </w:rPr>
    </w:lvl>
    <w:lvl w:ilvl="4" w:tplc="04050003" w:tentative="1">
      <w:start w:val="1"/>
      <w:numFmt w:val="bullet"/>
      <w:lvlText w:val="o"/>
      <w:lvlJc w:val="left"/>
      <w:pPr>
        <w:ind w:left="3666" w:hanging="360"/>
      </w:pPr>
      <w:rPr>
        <w:rFonts w:ascii="Courier New" w:hAnsi="Courier New" w:cs="Courier New" w:hint="default"/>
      </w:rPr>
    </w:lvl>
    <w:lvl w:ilvl="5" w:tplc="04050005" w:tentative="1">
      <w:start w:val="1"/>
      <w:numFmt w:val="bullet"/>
      <w:lvlText w:val=""/>
      <w:lvlJc w:val="left"/>
      <w:pPr>
        <w:ind w:left="4386" w:hanging="360"/>
      </w:pPr>
      <w:rPr>
        <w:rFonts w:ascii="Wingdings" w:hAnsi="Wingdings" w:hint="default"/>
      </w:rPr>
    </w:lvl>
    <w:lvl w:ilvl="6" w:tplc="04050001" w:tentative="1">
      <w:start w:val="1"/>
      <w:numFmt w:val="bullet"/>
      <w:lvlText w:val=""/>
      <w:lvlJc w:val="left"/>
      <w:pPr>
        <w:ind w:left="5106" w:hanging="360"/>
      </w:pPr>
      <w:rPr>
        <w:rFonts w:ascii="Symbol" w:hAnsi="Symbol" w:hint="default"/>
      </w:rPr>
    </w:lvl>
    <w:lvl w:ilvl="7" w:tplc="04050003" w:tentative="1">
      <w:start w:val="1"/>
      <w:numFmt w:val="bullet"/>
      <w:lvlText w:val="o"/>
      <w:lvlJc w:val="left"/>
      <w:pPr>
        <w:ind w:left="5826" w:hanging="360"/>
      </w:pPr>
      <w:rPr>
        <w:rFonts w:ascii="Courier New" w:hAnsi="Courier New" w:cs="Courier New" w:hint="default"/>
      </w:rPr>
    </w:lvl>
    <w:lvl w:ilvl="8" w:tplc="04050005" w:tentative="1">
      <w:start w:val="1"/>
      <w:numFmt w:val="bullet"/>
      <w:lvlText w:val=""/>
      <w:lvlJc w:val="left"/>
      <w:pPr>
        <w:ind w:left="6546" w:hanging="360"/>
      </w:pPr>
      <w:rPr>
        <w:rFonts w:ascii="Wingdings" w:hAnsi="Wingdings" w:hint="default"/>
      </w:rPr>
    </w:lvl>
  </w:abstractNum>
  <w:abstractNum w:abstractNumId="15">
    <w:nsid w:val="51A44E98"/>
    <w:multiLevelType w:val="hybridMultilevel"/>
    <w:tmpl w:val="D7624C86"/>
    <w:lvl w:ilvl="0" w:tplc="04050001">
      <w:start w:val="1"/>
      <w:numFmt w:val="bullet"/>
      <w:lvlText w:val=""/>
      <w:lvlJc w:val="left"/>
      <w:pPr>
        <w:ind w:left="927" w:hanging="360"/>
      </w:pPr>
      <w:rPr>
        <w:rFonts w:ascii="Symbol" w:hAnsi="Symbol" w:hint="default"/>
      </w:rPr>
    </w:lvl>
    <w:lvl w:ilvl="1" w:tplc="04050003" w:tentative="1">
      <w:start w:val="1"/>
      <w:numFmt w:val="bullet"/>
      <w:lvlText w:val="o"/>
      <w:lvlJc w:val="left"/>
      <w:pPr>
        <w:ind w:left="1647" w:hanging="360"/>
      </w:pPr>
      <w:rPr>
        <w:rFonts w:ascii="Courier New" w:hAnsi="Courier New" w:cs="Courier New" w:hint="default"/>
      </w:rPr>
    </w:lvl>
    <w:lvl w:ilvl="2" w:tplc="04050005" w:tentative="1">
      <w:start w:val="1"/>
      <w:numFmt w:val="bullet"/>
      <w:lvlText w:val=""/>
      <w:lvlJc w:val="left"/>
      <w:pPr>
        <w:ind w:left="2367" w:hanging="360"/>
      </w:pPr>
      <w:rPr>
        <w:rFonts w:ascii="Wingdings" w:hAnsi="Wingdings" w:hint="default"/>
      </w:rPr>
    </w:lvl>
    <w:lvl w:ilvl="3" w:tplc="04050001" w:tentative="1">
      <w:start w:val="1"/>
      <w:numFmt w:val="bullet"/>
      <w:lvlText w:val=""/>
      <w:lvlJc w:val="left"/>
      <w:pPr>
        <w:ind w:left="3087" w:hanging="360"/>
      </w:pPr>
      <w:rPr>
        <w:rFonts w:ascii="Symbol" w:hAnsi="Symbol" w:hint="default"/>
      </w:rPr>
    </w:lvl>
    <w:lvl w:ilvl="4" w:tplc="04050003" w:tentative="1">
      <w:start w:val="1"/>
      <w:numFmt w:val="bullet"/>
      <w:lvlText w:val="o"/>
      <w:lvlJc w:val="left"/>
      <w:pPr>
        <w:ind w:left="3807" w:hanging="360"/>
      </w:pPr>
      <w:rPr>
        <w:rFonts w:ascii="Courier New" w:hAnsi="Courier New" w:cs="Courier New" w:hint="default"/>
      </w:rPr>
    </w:lvl>
    <w:lvl w:ilvl="5" w:tplc="04050005" w:tentative="1">
      <w:start w:val="1"/>
      <w:numFmt w:val="bullet"/>
      <w:lvlText w:val=""/>
      <w:lvlJc w:val="left"/>
      <w:pPr>
        <w:ind w:left="4527" w:hanging="360"/>
      </w:pPr>
      <w:rPr>
        <w:rFonts w:ascii="Wingdings" w:hAnsi="Wingdings" w:hint="default"/>
      </w:rPr>
    </w:lvl>
    <w:lvl w:ilvl="6" w:tplc="04050001" w:tentative="1">
      <w:start w:val="1"/>
      <w:numFmt w:val="bullet"/>
      <w:lvlText w:val=""/>
      <w:lvlJc w:val="left"/>
      <w:pPr>
        <w:ind w:left="5247" w:hanging="360"/>
      </w:pPr>
      <w:rPr>
        <w:rFonts w:ascii="Symbol" w:hAnsi="Symbol" w:hint="default"/>
      </w:rPr>
    </w:lvl>
    <w:lvl w:ilvl="7" w:tplc="04050003" w:tentative="1">
      <w:start w:val="1"/>
      <w:numFmt w:val="bullet"/>
      <w:lvlText w:val="o"/>
      <w:lvlJc w:val="left"/>
      <w:pPr>
        <w:ind w:left="5967" w:hanging="360"/>
      </w:pPr>
      <w:rPr>
        <w:rFonts w:ascii="Courier New" w:hAnsi="Courier New" w:cs="Courier New" w:hint="default"/>
      </w:rPr>
    </w:lvl>
    <w:lvl w:ilvl="8" w:tplc="04050005" w:tentative="1">
      <w:start w:val="1"/>
      <w:numFmt w:val="bullet"/>
      <w:lvlText w:val=""/>
      <w:lvlJc w:val="left"/>
      <w:pPr>
        <w:ind w:left="6687" w:hanging="360"/>
      </w:pPr>
      <w:rPr>
        <w:rFonts w:ascii="Wingdings" w:hAnsi="Wingdings" w:hint="default"/>
      </w:rPr>
    </w:lvl>
  </w:abstractNum>
  <w:abstractNum w:abstractNumId="16">
    <w:nsid w:val="535230BA"/>
    <w:multiLevelType w:val="hybridMultilevel"/>
    <w:tmpl w:val="01F6AC8A"/>
    <w:lvl w:ilvl="0" w:tplc="C76ACC00">
      <w:start w:val="1"/>
      <w:numFmt w:val="lowerLetter"/>
      <w:pStyle w:val="slovanseznam2"/>
      <w:lvlText w:val="%1)"/>
      <w:lvlJc w:val="left"/>
      <w:pPr>
        <w:tabs>
          <w:tab w:val="num" w:pos="720"/>
        </w:tabs>
        <w:ind w:left="720" w:hanging="360"/>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17">
    <w:nsid w:val="56D90934"/>
    <w:multiLevelType w:val="multilevel"/>
    <w:tmpl w:val="74BA86D6"/>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8">
    <w:nsid w:val="64446104"/>
    <w:multiLevelType w:val="hybridMultilevel"/>
    <w:tmpl w:val="13784192"/>
    <w:lvl w:ilvl="0" w:tplc="3ABA4F1C">
      <w:start w:val="1"/>
      <w:numFmt w:val="lowerRoman"/>
      <w:pStyle w:val="Dslovnpsmenatun"/>
      <w:lvlText w:val="(%1)"/>
      <w:lvlJc w:val="left"/>
      <w:pPr>
        <w:tabs>
          <w:tab w:val="num" w:pos="1743"/>
        </w:tabs>
        <w:ind w:left="1743" w:hanging="975"/>
      </w:pPr>
      <w:rPr>
        <w:rFonts w:cs="Times New Roman" w:hint="default"/>
      </w:rPr>
    </w:lvl>
    <w:lvl w:ilvl="1" w:tplc="F698CB5A">
      <w:start w:val="3"/>
      <w:numFmt w:val="decimal"/>
      <w:lvlText w:val="%2."/>
      <w:lvlJc w:val="left"/>
      <w:pPr>
        <w:tabs>
          <w:tab w:val="num" w:pos="1848"/>
        </w:tabs>
        <w:ind w:left="1848" w:hanging="360"/>
      </w:pPr>
      <w:rPr>
        <w:rFonts w:cs="Times New Roman" w:hint="default"/>
      </w:rPr>
    </w:lvl>
    <w:lvl w:ilvl="2" w:tplc="0405001B" w:tentative="1">
      <w:start w:val="1"/>
      <w:numFmt w:val="lowerRoman"/>
      <w:lvlText w:val="%3."/>
      <w:lvlJc w:val="right"/>
      <w:pPr>
        <w:tabs>
          <w:tab w:val="num" w:pos="2568"/>
        </w:tabs>
        <w:ind w:left="2568" w:hanging="180"/>
      </w:pPr>
      <w:rPr>
        <w:rFonts w:cs="Times New Roman"/>
      </w:rPr>
    </w:lvl>
    <w:lvl w:ilvl="3" w:tplc="0405000F" w:tentative="1">
      <w:start w:val="1"/>
      <w:numFmt w:val="decimal"/>
      <w:lvlText w:val="%4."/>
      <w:lvlJc w:val="left"/>
      <w:pPr>
        <w:tabs>
          <w:tab w:val="num" w:pos="3288"/>
        </w:tabs>
        <w:ind w:left="3288" w:hanging="360"/>
      </w:pPr>
      <w:rPr>
        <w:rFonts w:cs="Times New Roman"/>
      </w:rPr>
    </w:lvl>
    <w:lvl w:ilvl="4" w:tplc="04050019" w:tentative="1">
      <w:start w:val="1"/>
      <w:numFmt w:val="lowerLetter"/>
      <w:lvlText w:val="%5."/>
      <w:lvlJc w:val="left"/>
      <w:pPr>
        <w:tabs>
          <w:tab w:val="num" w:pos="4008"/>
        </w:tabs>
        <w:ind w:left="4008" w:hanging="360"/>
      </w:pPr>
      <w:rPr>
        <w:rFonts w:cs="Times New Roman"/>
      </w:rPr>
    </w:lvl>
    <w:lvl w:ilvl="5" w:tplc="0405001B" w:tentative="1">
      <w:start w:val="1"/>
      <w:numFmt w:val="lowerRoman"/>
      <w:lvlText w:val="%6."/>
      <w:lvlJc w:val="right"/>
      <w:pPr>
        <w:tabs>
          <w:tab w:val="num" w:pos="4728"/>
        </w:tabs>
        <w:ind w:left="4728" w:hanging="180"/>
      </w:pPr>
      <w:rPr>
        <w:rFonts w:cs="Times New Roman"/>
      </w:rPr>
    </w:lvl>
    <w:lvl w:ilvl="6" w:tplc="0405000F" w:tentative="1">
      <w:start w:val="1"/>
      <w:numFmt w:val="decimal"/>
      <w:lvlText w:val="%7."/>
      <w:lvlJc w:val="left"/>
      <w:pPr>
        <w:tabs>
          <w:tab w:val="num" w:pos="5448"/>
        </w:tabs>
        <w:ind w:left="5448" w:hanging="360"/>
      </w:pPr>
      <w:rPr>
        <w:rFonts w:cs="Times New Roman"/>
      </w:rPr>
    </w:lvl>
    <w:lvl w:ilvl="7" w:tplc="04050019" w:tentative="1">
      <w:start w:val="1"/>
      <w:numFmt w:val="lowerLetter"/>
      <w:lvlText w:val="%8."/>
      <w:lvlJc w:val="left"/>
      <w:pPr>
        <w:tabs>
          <w:tab w:val="num" w:pos="6168"/>
        </w:tabs>
        <w:ind w:left="6168" w:hanging="360"/>
      </w:pPr>
      <w:rPr>
        <w:rFonts w:cs="Times New Roman"/>
      </w:rPr>
    </w:lvl>
    <w:lvl w:ilvl="8" w:tplc="0405001B" w:tentative="1">
      <w:start w:val="1"/>
      <w:numFmt w:val="lowerRoman"/>
      <w:lvlText w:val="%9."/>
      <w:lvlJc w:val="right"/>
      <w:pPr>
        <w:tabs>
          <w:tab w:val="num" w:pos="6888"/>
        </w:tabs>
        <w:ind w:left="6888" w:hanging="180"/>
      </w:pPr>
      <w:rPr>
        <w:rFonts w:cs="Times New Roman"/>
      </w:rPr>
    </w:lvl>
  </w:abstractNum>
  <w:abstractNum w:abstractNumId="19">
    <w:nsid w:val="6578686E"/>
    <w:multiLevelType w:val="hybridMultilevel"/>
    <w:tmpl w:val="016AA782"/>
    <w:lvl w:ilvl="0" w:tplc="9594D6F4">
      <w:start w:val="1"/>
      <w:numFmt w:val="decimal"/>
      <w:pStyle w:val="slovanseznam"/>
      <w:lvlText w:val="%1."/>
      <w:lvlJc w:val="left"/>
      <w:pPr>
        <w:tabs>
          <w:tab w:val="num" w:pos="357"/>
        </w:tabs>
        <w:ind w:left="357" w:hanging="357"/>
      </w:pPr>
      <w:rPr>
        <w:rFonts w:cs="Times New Roman" w:hint="default"/>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0">
    <w:nsid w:val="6AAF1A1F"/>
    <w:multiLevelType w:val="multilevel"/>
    <w:tmpl w:val="C5B8B1F2"/>
    <w:lvl w:ilvl="0">
      <w:start w:val="1"/>
      <w:numFmt w:val="decimal"/>
      <w:pStyle w:val="Textodstavce"/>
      <w:isLgl/>
      <w:lvlText w:val="(%1)"/>
      <w:lvlJc w:val="left"/>
      <w:pPr>
        <w:tabs>
          <w:tab w:val="num" w:pos="782"/>
        </w:tabs>
        <w:ind w:firstLine="425"/>
      </w:pPr>
      <w:rPr>
        <w:rFonts w:cs="Times New Roman"/>
      </w:rPr>
    </w:lvl>
    <w:lvl w:ilvl="1">
      <w:start w:val="1"/>
      <w:numFmt w:val="upperLetter"/>
      <w:lvlText w:val="%2."/>
      <w:lvlJc w:val="left"/>
      <w:pPr>
        <w:tabs>
          <w:tab w:val="num" w:pos="425"/>
        </w:tabs>
        <w:ind w:left="425" w:hanging="425"/>
      </w:pPr>
      <w:rPr>
        <w:rFonts w:cs="Times New Roman"/>
      </w:rPr>
    </w:lvl>
    <w:lvl w:ilvl="2">
      <w:start w:val="1"/>
      <w:numFmt w:val="decimal"/>
      <w:pStyle w:val="Textbodu"/>
      <w:isLgl/>
      <w:lvlText w:val="%3."/>
      <w:lvlJc w:val="left"/>
      <w:pPr>
        <w:tabs>
          <w:tab w:val="num" w:pos="850"/>
        </w:tabs>
        <w:ind w:left="850" w:hanging="425"/>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21">
    <w:nsid w:val="71907A7A"/>
    <w:multiLevelType w:val="hybridMultilevel"/>
    <w:tmpl w:val="DD3A93DE"/>
    <w:lvl w:ilvl="0" w:tplc="04050015">
      <w:start w:val="1"/>
      <w:numFmt w:val="upperLetter"/>
      <w:pStyle w:val="Nadpis1"/>
      <w:lvlText w:val="%1."/>
      <w:lvlJc w:val="left"/>
      <w:pPr>
        <w:ind w:left="720" w:hanging="360"/>
      </w:pPr>
      <w:rPr>
        <w:rFonts w:cs="Times New Roman" w:hint="default"/>
      </w:rPr>
    </w:lvl>
    <w:lvl w:ilvl="1" w:tplc="04050019">
      <w:start w:val="1"/>
      <w:numFmt w:val="lowerLetter"/>
      <w:pStyle w:val="Nadpis2"/>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pStyle w:val="Nadpis5"/>
      <w:lvlText w:val="%5."/>
      <w:lvlJc w:val="left"/>
      <w:pPr>
        <w:ind w:left="3600" w:hanging="360"/>
      </w:pPr>
      <w:rPr>
        <w:rFonts w:cs="Times New Roman"/>
      </w:rPr>
    </w:lvl>
    <w:lvl w:ilvl="5" w:tplc="0405001B" w:tentative="1">
      <w:start w:val="1"/>
      <w:numFmt w:val="lowerRoman"/>
      <w:pStyle w:val="Nadpis6"/>
      <w:lvlText w:val="%6."/>
      <w:lvlJc w:val="right"/>
      <w:pPr>
        <w:ind w:left="4320" w:hanging="180"/>
      </w:pPr>
      <w:rPr>
        <w:rFonts w:cs="Times New Roman"/>
      </w:rPr>
    </w:lvl>
    <w:lvl w:ilvl="6" w:tplc="0405000F" w:tentative="1">
      <w:start w:val="1"/>
      <w:numFmt w:val="decimal"/>
      <w:pStyle w:val="Nadpis7"/>
      <w:lvlText w:val="%7."/>
      <w:lvlJc w:val="left"/>
      <w:pPr>
        <w:ind w:left="5040" w:hanging="360"/>
      </w:pPr>
      <w:rPr>
        <w:rFonts w:cs="Times New Roman"/>
      </w:rPr>
    </w:lvl>
    <w:lvl w:ilvl="7" w:tplc="04050019" w:tentative="1">
      <w:start w:val="1"/>
      <w:numFmt w:val="lowerLetter"/>
      <w:pStyle w:val="Nadpis8"/>
      <w:lvlText w:val="%8."/>
      <w:lvlJc w:val="left"/>
      <w:pPr>
        <w:ind w:left="5760" w:hanging="360"/>
      </w:pPr>
      <w:rPr>
        <w:rFonts w:cs="Times New Roman"/>
      </w:rPr>
    </w:lvl>
    <w:lvl w:ilvl="8" w:tplc="0405001B" w:tentative="1">
      <w:start w:val="1"/>
      <w:numFmt w:val="lowerRoman"/>
      <w:pStyle w:val="Nadpis9"/>
      <w:lvlText w:val="%9."/>
      <w:lvlJc w:val="right"/>
      <w:pPr>
        <w:ind w:left="6480" w:hanging="180"/>
      </w:pPr>
      <w:rPr>
        <w:rFonts w:cs="Times New Roman"/>
      </w:rPr>
    </w:lvl>
  </w:abstractNum>
  <w:abstractNum w:abstractNumId="22">
    <w:nsid w:val="733B7BEF"/>
    <w:multiLevelType w:val="singleLevel"/>
    <w:tmpl w:val="1BA4C54C"/>
    <w:lvl w:ilvl="0">
      <w:start w:val="1"/>
      <w:numFmt w:val="decimal"/>
      <w:pStyle w:val="za1"/>
      <w:lvlText w:val="%1."/>
      <w:lvlJc w:val="left"/>
      <w:pPr>
        <w:tabs>
          <w:tab w:val="num" w:pos="850"/>
        </w:tabs>
        <w:ind w:left="850" w:hanging="425"/>
      </w:pPr>
      <w:rPr>
        <w:rFonts w:ascii="Times New Roman" w:hAnsi="Times New Roman" w:cs="Times New Roman" w:hint="default"/>
        <w:b w:val="0"/>
        <w:i w:val="0"/>
        <w:sz w:val="24"/>
        <w:vertAlign w:val="baseline"/>
      </w:rPr>
    </w:lvl>
  </w:abstractNum>
  <w:abstractNum w:abstractNumId="23">
    <w:nsid w:val="7E084B59"/>
    <w:multiLevelType w:val="hybridMultilevel"/>
    <w:tmpl w:val="A1E09356"/>
    <w:lvl w:ilvl="0" w:tplc="0718937C">
      <w:start w:val="1"/>
      <w:numFmt w:val="bullet"/>
      <w:pStyle w:val="neslovanseznam1"/>
      <w:lvlText w:val=""/>
      <w:lvlJc w:val="left"/>
      <w:pPr>
        <w:tabs>
          <w:tab w:val="num" w:pos="360"/>
        </w:tabs>
        <w:ind w:left="360" w:hanging="360"/>
      </w:pPr>
      <w:rPr>
        <w:rFonts w:ascii="Symbol" w:hAnsi="Symbol" w:hint="default"/>
        <w:color w:val="auto"/>
      </w:rPr>
    </w:lvl>
    <w:lvl w:ilvl="1" w:tplc="04050019" w:tentative="1">
      <w:start w:val="1"/>
      <w:numFmt w:val="lowerLetter"/>
      <w:lvlText w:val="%2."/>
      <w:lvlJc w:val="left"/>
      <w:pPr>
        <w:tabs>
          <w:tab w:val="num" w:pos="1440"/>
        </w:tabs>
        <w:ind w:left="1440" w:hanging="360"/>
      </w:pPr>
      <w:rPr>
        <w:rFonts w:cs="Times New Roman"/>
      </w:rPr>
    </w:lvl>
    <w:lvl w:ilvl="2" w:tplc="0405001B" w:tentative="1">
      <w:start w:val="1"/>
      <w:numFmt w:val="lowerRoman"/>
      <w:lvlText w:val="%3."/>
      <w:lvlJc w:val="right"/>
      <w:pPr>
        <w:tabs>
          <w:tab w:val="num" w:pos="2160"/>
        </w:tabs>
        <w:ind w:left="2160" w:hanging="180"/>
      </w:pPr>
      <w:rPr>
        <w:rFonts w:cs="Times New Roman"/>
      </w:rPr>
    </w:lvl>
    <w:lvl w:ilvl="3" w:tplc="0405000F" w:tentative="1">
      <w:start w:val="1"/>
      <w:numFmt w:val="decimal"/>
      <w:lvlText w:val="%4."/>
      <w:lvlJc w:val="left"/>
      <w:pPr>
        <w:tabs>
          <w:tab w:val="num" w:pos="2880"/>
        </w:tabs>
        <w:ind w:left="2880" w:hanging="360"/>
      </w:pPr>
      <w:rPr>
        <w:rFonts w:cs="Times New Roman"/>
      </w:rPr>
    </w:lvl>
    <w:lvl w:ilvl="4" w:tplc="04050019" w:tentative="1">
      <w:start w:val="1"/>
      <w:numFmt w:val="lowerLetter"/>
      <w:lvlText w:val="%5."/>
      <w:lvlJc w:val="left"/>
      <w:pPr>
        <w:tabs>
          <w:tab w:val="num" w:pos="3600"/>
        </w:tabs>
        <w:ind w:left="3600" w:hanging="360"/>
      </w:pPr>
      <w:rPr>
        <w:rFonts w:cs="Times New Roman"/>
      </w:rPr>
    </w:lvl>
    <w:lvl w:ilvl="5" w:tplc="0405001B" w:tentative="1">
      <w:start w:val="1"/>
      <w:numFmt w:val="lowerRoman"/>
      <w:lvlText w:val="%6."/>
      <w:lvlJc w:val="right"/>
      <w:pPr>
        <w:tabs>
          <w:tab w:val="num" w:pos="4320"/>
        </w:tabs>
        <w:ind w:left="4320" w:hanging="180"/>
      </w:pPr>
      <w:rPr>
        <w:rFonts w:cs="Times New Roman"/>
      </w:rPr>
    </w:lvl>
    <w:lvl w:ilvl="6" w:tplc="0405000F" w:tentative="1">
      <w:start w:val="1"/>
      <w:numFmt w:val="decimal"/>
      <w:lvlText w:val="%7."/>
      <w:lvlJc w:val="left"/>
      <w:pPr>
        <w:tabs>
          <w:tab w:val="num" w:pos="5040"/>
        </w:tabs>
        <w:ind w:left="5040" w:hanging="360"/>
      </w:pPr>
      <w:rPr>
        <w:rFonts w:cs="Times New Roman"/>
      </w:rPr>
    </w:lvl>
    <w:lvl w:ilvl="7" w:tplc="04050019" w:tentative="1">
      <w:start w:val="1"/>
      <w:numFmt w:val="lowerLetter"/>
      <w:lvlText w:val="%8."/>
      <w:lvlJc w:val="left"/>
      <w:pPr>
        <w:tabs>
          <w:tab w:val="num" w:pos="5760"/>
        </w:tabs>
        <w:ind w:left="5760" w:hanging="360"/>
      </w:pPr>
      <w:rPr>
        <w:rFonts w:cs="Times New Roman"/>
      </w:rPr>
    </w:lvl>
    <w:lvl w:ilvl="8" w:tplc="0405001B" w:tentative="1">
      <w:start w:val="1"/>
      <w:numFmt w:val="lowerRoman"/>
      <w:lvlText w:val="%9."/>
      <w:lvlJc w:val="right"/>
      <w:pPr>
        <w:tabs>
          <w:tab w:val="num" w:pos="6480"/>
        </w:tabs>
        <w:ind w:left="6480" w:hanging="180"/>
      </w:pPr>
      <w:rPr>
        <w:rFonts w:cs="Times New Roman"/>
      </w:rPr>
    </w:lvl>
  </w:abstractNum>
  <w:abstractNum w:abstractNumId="24">
    <w:nsid w:val="7FE077E2"/>
    <w:multiLevelType w:val="multilevel"/>
    <w:tmpl w:val="5CD8454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23"/>
  </w:num>
  <w:num w:numId="2">
    <w:abstractNumId w:val="5"/>
  </w:num>
  <w:num w:numId="3">
    <w:abstractNumId w:val="11"/>
  </w:num>
  <w:num w:numId="4">
    <w:abstractNumId w:val="12"/>
  </w:num>
  <w:num w:numId="5">
    <w:abstractNumId w:val="19"/>
  </w:num>
  <w:num w:numId="6">
    <w:abstractNumId w:val="16"/>
  </w:num>
  <w:num w:numId="7">
    <w:abstractNumId w:val="13"/>
  </w:num>
  <w:num w:numId="8">
    <w:abstractNumId w:val="3"/>
  </w:num>
  <w:num w:numId="9">
    <w:abstractNumId w:val="6"/>
  </w:num>
  <w:num w:numId="10">
    <w:abstractNumId w:val="20"/>
  </w:num>
  <w:num w:numId="11">
    <w:abstractNumId w:val="7"/>
  </w:num>
  <w:num w:numId="12">
    <w:abstractNumId w:val="10"/>
  </w:num>
  <w:num w:numId="13">
    <w:abstractNumId w:val="0"/>
  </w:num>
  <w:num w:numId="14">
    <w:abstractNumId w:val="1"/>
  </w:num>
  <w:num w:numId="15">
    <w:abstractNumId w:val="18"/>
  </w:num>
  <w:num w:numId="16">
    <w:abstractNumId w:val="2"/>
  </w:num>
  <w:num w:numId="17">
    <w:abstractNumId w:val="8"/>
    <w:lvlOverride w:ilvl="0">
      <w:startOverride w:val="1"/>
    </w:lvlOverride>
  </w:num>
  <w:num w:numId="18">
    <w:abstractNumId w:val="21"/>
  </w:num>
  <w:num w:numId="19">
    <w:abstractNumId w:val="4"/>
  </w:num>
  <w:num w:numId="20">
    <w:abstractNumId w:val="22"/>
  </w:num>
  <w:num w:numId="21">
    <w:abstractNumId w:val="15"/>
  </w:num>
  <w:num w:numId="22">
    <w:abstractNumId w:val="24"/>
  </w:num>
  <w:num w:numId="23">
    <w:abstractNumId w:val="9"/>
  </w:num>
  <w:num w:numId="24">
    <w:abstractNumId w:val="14"/>
  </w:num>
  <w:num w:numId="25">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Verze_sablony" w:val="2.1"/>
  </w:docVars>
  <w:rsids>
    <w:rsidRoot w:val="00053E1C"/>
    <w:rsid w:val="000008A1"/>
    <w:rsid w:val="000029BE"/>
    <w:rsid w:val="00002D8A"/>
    <w:rsid w:val="00004059"/>
    <w:rsid w:val="00007E4A"/>
    <w:rsid w:val="000107D7"/>
    <w:rsid w:val="00011669"/>
    <w:rsid w:val="00014AA4"/>
    <w:rsid w:val="00017BEC"/>
    <w:rsid w:val="00020A06"/>
    <w:rsid w:val="00022271"/>
    <w:rsid w:val="00022651"/>
    <w:rsid w:val="00023DA4"/>
    <w:rsid w:val="00027404"/>
    <w:rsid w:val="000336DC"/>
    <w:rsid w:val="0003532F"/>
    <w:rsid w:val="00036114"/>
    <w:rsid w:val="00036B0D"/>
    <w:rsid w:val="00037D0D"/>
    <w:rsid w:val="00044FB3"/>
    <w:rsid w:val="00045959"/>
    <w:rsid w:val="00045B0D"/>
    <w:rsid w:val="00047F43"/>
    <w:rsid w:val="00053756"/>
    <w:rsid w:val="00053E1C"/>
    <w:rsid w:val="00054329"/>
    <w:rsid w:val="00055954"/>
    <w:rsid w:val="00055BA5"/>
    <w:rsid w:val="0006107D"/>
    <w:rsid w:val="00065F5C"/>
    <w:rsid w:val="00070E35"/>
    <w:rsid w:val="00071F3D"/>
    <w:rsid w:val="000834DA"/>
    <w:rsid w:val="000851EB"/>
    <w:rsid w:val="00086924"/>
    <w:rsid w:val="00087F14"/>
    <w:rsid w:val="00090735"/>
    <w:rsid w:val="00091577"/>
    <w:rsid w:val="00092DD4"/>
    <w:rsid w:val="00094B4E"/>
    <w:rsid w:val="00095E72"/>
    <w:rsid w:val="000A177E"/>
    <w:rsid w:val="000A527E"/>
    <w:rsid w:val="000A6CF4"/>
    <w:rsid w:val="000A7282"/>
    <w:rsid w:val="000B00D8"/>
    <w:rsid w:val="000B03B3"/>
    <w:rsid w:val="000B0CAE"/>
    <w:rsid w:val="000B1B7E"/>
    <w:rsid w:val="000B2B12"/>
    <w:rsid w:val="000B338E"/>
    <w:rsid w:val="000B5046"/>
    <w:rsid w:val="000B6DE5"/>
    <w:rsid w:val="000B6EB8"/>
    <w:rsid w:val="000B739D"/>
    <w:rsid w:val="000B7957"/>
    <w:rsid w:val="000B79EC"/>
    <w:rsid w:val="000C073A"/>
    <w:rsid w:val="000C0BA2"/>
    <w:rsid w:val="000D3544"/>
    <w:rsid w:val="000D3835"/>
    <w:rsid w:val="000D3CCE"/>
    <w:rsid w:val="000D50F6"/>
    <w:rsid w:val="000E1794"/>
    <w:rsid w:val="000E1DB7"/>
    <w:rsid w:val="000E26FD"/>
    <w:rsid w:val="000E3DB7"/>
    <w:rsid w:val="000E3F0A"/>
    <w:rsid w:val="000F0DE4"/>
    <w:rsid w:val="000F287F"/>
    <w:rsid w:val="000F3719"/>
    <w:rsid w:val="000F4D87"/>
    <w:rsid w:val="000F511A"/>
    <w:rsid w:val="000F7FF1"/>
    <w:rsid w:val="00102BA8"/>
    <w:rsid w:val="00103BE6"/>
    <w:rsid w:val="00104030"/>
    <w:rsid w:val="00105BA7"/>
    <w:rsid w:val="00107203"/>
    <w:rsid w:val="00110ADC"/>
    <w:rsid w:val="0011253D"/>
    <w:rsid w:val="00116A63"/>
    <w:rsid w:val="0012246B"/>
    <w:rsid w:val="00122AA2"/>
    <w:rsid w:val="00122B4F"/>
    <w:rsid w:val="00123017"/>
    <w:rsid w:val="001307F4"/>
    <w:rsid w:val="00140A46"/>
    <w:rsid w:val="00147D27"/>
    <w:rsid w:val="00151D27"/>
    <w:rsid w:val="0015467C"/>
    <w:rsid w:val="00156BE6"/>
    <w:rsid w:val="00157241"/>
    <w:rsid w:val="001642BC"/>
    <w:rsid w:val="00167304"/>
    <w:rsid w:val="00170E30"/>
    <w:rsid w:val="00171494"/>
    <w:rsid w:val="00172445"/>
    <w:rsid w:val="00173586"/>
    <w:rsid w:val="00174517"/>
    <w:rsid w:val="00181AEE"/>
    <w:rsid w:val="00184A72"/>
    <w:rsid w:val="00186464"/>
    <w:rsid w:val="00187490"/>
    <w:rsid w:val="00190789"/>
    <w:rsid w:val="00194723"/>
    <w:rsid w:val="00196F61"/>
    <w:rsid w:val="00197B5C"/>
    <w:rsid w:val="001A0D4E"/>
    <w:rsid w:val="001A1FC6"/>
    <w:rsid w:val="001A2ACA"/>
    <w:rsid w:val="001A4C91"/>
    <w:rsid w:val="001A558F"/>
    <w:rsid w:val="001A65F3"/>
    <w:rsid w:val="001A6EF1"/>
    <w:rsid w:val="001B0931"/>
    <w:rsid w:val="001B105D"/>
    <w:rsid w:val="001B65D4"/>
    <w:rsid w:val="001B6FC8"/>
    <w:rsid w:val="001C1C99"/>
    <w:rsid w:val="001C214B"/>
    <w:rsid w:val="001C229A"/>
    <w:rsid w:val="001C5539"/>
    <w:rsid w:val="001C5872"/>
    <w:rsid w:val="001D2348"/>
    <w:rsid w:val="001D2798"/>
    <w:rsid w:val="001D4F56"/>
    <w:rsid w:val="001D5269"/>
    <w:rsid w:val="001E15B5"/>
    <w:rsid w:val="001E23EF"/>
    <w:rsid w:val="001E316C"/>
    <w:rsid w:val="001E54BF"/>
    <w:rsid w:val="001F0EB5"/>
    <w:rsid w:val="001F25E7"/>
    <w:rsid w:val="001F40A0"/>
    <w:rsid w:val="001F4861"/>
    <w:rsid w:val="001F5745"/>
    <w:rsid w:val="001F6AB2"/>
    <w:rsid w:val="001F6BC3"/>
    <w:rsid w:val="00201306"/>
    <w:rsid w:val="00203953"/>
    <w:rsid w:val="002047AE"/>
    <w:rsid w:val="0020549C"/>
    <w:rsid w:val="00205D43"/>
    <w:rsid w:val="00210286"/>
    <w:rsid w:val="00214468"/>
    <w:rsid w:val="00215861"/>
    <w:rsid w:val="00217806"/>
    <w:rsid w:val="002204B4"/>
    <w:rsid w:val="002209AF"/>
    <w:rsid w:val="00220F9E"/>
    <w:rsid w:val="002215D7"/>
    <w:rsid w:val="00221EB3"/>
    <w:rsid w:val="00222502"/>
    <w:rsid w:val="00227A8E"/>
    <w:rsid w:val="0023329D"/>
    <w:rsid w:val="00234F09"/>
    <w:rsid w:val="00236162"/>
    <w:rsid w:val="00240AB6"/>
    <w:rsid w:val="0024390D"/>
    <w:rsid w:val="00245E0B"/>
    <w:rsid w:val="002463AB"/>
    <w:rsid w:val="002473BA"/>
    <w:rsid w:val="0025126D"/>
    <w:rsid w:val="00251E2D"/>
    <w:rsid w:val="00251E9D"/>
    <w:rsid w:val="002524BF"/>
    <w:rsid w:val="002556D1"/>
    <w:rsid w:val="00255AB0"/>
    <w:rsid w:val="002567F9"/>
    <w:rsid w:val="00257237"/>
    <w:rsid w:val="002603A7"/>
    <w:rsid w:val="0026336E"/>
    <w:rsid w:val="0026415D"/>
    <w:rsid w:val="0026585D"/>
    <w:rsid w:val="00267B4F"/>
    <w:rsid w:val="002714AB"/>
    <w:rsid w:val="002750D8"/>
    <w:rsid w:val="00276079"/>
    <w:rsid w:val="00276A2C"/>
    <w:rsid w:val="002776A1"/>
    <w:rsid w:val="00280568"/>
    <w:rsid w:val="00281BC8"/>
    <w:rsid w:val="00283470"/>
    <w:rsid w:val="00286B72"/>
    <w:rsid w:val="00290D7E"/>
    <w:rsid w:val="00294318"/>
    <w:rsid w:val="00296D56"/>
    <w:rsid w:val="002A31B1"/>
    <w:rsid w:val="002A4012"/>
    <w:rsid w:val="002A56F5"/>
    <w:rsid w:val="002A7A85"/>
    <w:rsid w:val="002B0BE9"/>
    <w:rsid w:val="002B0E60"/>
    <w:rsid w:val="002B165B"/>
    <w:rsid w:val="002B252D"/>
    <w:rsid w:val="002B3DDF"/>
    <w:rsid w:val="002B3F3F"/>
    <w:rsid w:val="002C0E5B"/>
    <w:rsid w:val="002C13C3"/>
    <w:rsid w:val="002C28D6"/>
    <w:rsid w:val="002C4C77"/>
    <w:rsid w:val="002C5CCF"/>
    <w:rsid w:val="002C6562"/>
    <w:rsid w:val="002C656C"/>
    <w:rsid w:val="002C7157"/>
    <w:rsid w:val="002D068C"/>
    <w:rsid w:val="002D3313"/>
    <w:rsid w:val="002D61C5"/>
    <w:rsid w:val="002D6A94"/>
    <w:rsid w:val="002E1641"/>
    <w:rsid w:val="002E2C3C"/>
    <w:rsid w:val="002E2D3E"/>
    <w:rsid w:val="002E43CD"/>
    <w:rsid w:val="002E50F0"/>
    <w:rsid w:val="002E5601"/>
    <w:rsid w:val="002E63F2"/>
    <w:rsid w:val="002E6B10"/>
    <w:rsid w:val="002E6E89"/>
    <w:rsid w:val="002F3D0C"/>
    <w:rsid w:val="002F563A"/>
    <w:rsid w:val="002F7069"/>
    <w:rsid w:val="003011A9"/>
    <w:rsid w:val="00304D1C"/>
    <w:rsid w:val="00305FEF"/>
    <w:rsid w:val="0031081E"/>
    <w:rsid w:val="0031195C"/>
    <w:rsid w:val="003129AD"/>
    <w:rsid w:val="00312D52"/>
    <w:rsid w:val="0031671E"/>
    <w:rsid w:val="00316E47"/>
    <w:rsid w:val="00316E5A"/>
    <w:rsid w:val="0031763D"/>
    <w:rsid w:val="00320DC2"/>
    <w:rsid w:val="00321454"/>
    <w:rsid w:val="00321E4D"/>
    <w:rsid w:val="0032238B"/>
    <w:rsid w:val="00324389"/>
    <w:rsid w:val="00324A7A"/>
    <w:rsid w:val="0032765D"/>
    <w:rsid w:val="003302B8"/>
    <w:rsid w:val="003317D1"/>
    <w:rsid w:val="003338B7"/>
    <w:rsid w:val="00333D36"/>
    <w:rsid w:val="00336D57"/>
    <w:rsid w:val="003374D4"/>
    <w:rsid w:val="003378A8"/>
    <w:rsid w:val="00344B76"/>
    <w:rsid w:val="00345541"/>
    <w:rsid w:val="00353446"/>
    <w:rsid w:val="00355AAE"/>
    <w:rsid w:val="00360437"/>
    <w:rsid w:val="003610B5"/>
    <w:rsid w:val="00361669"/>
    <w:rsid w:val="00361F3C"/>
    <w:rsid w:val="0036486E"/>
    <w:rsid w:val="00364C93"/>
    <w:rsid w:val="00371573"/>
    <w:rsid w:val="00371EB0"/>
    <w:rsid w:val="003738D7"/>
    <w:rsid w:val="003743AB"/>
    <w:rsid w:val="00383A57"/>
    <w:rsid w:val="00383D92"/>
    <w:rsid w:val="00383F2E"/>
    <w:rsid w:val="00386EB0"/>
    <w:rsid w:val="003877F8"/>
    <w:rsid w:val="00390637"/>
    <w:rsid w:val="00390743"/>
    <w:rsid w:val="00394590"/>
    <w:rsid w:val="00396EDD"/>
    <w:rsid w:val="003A007E"/>
    <w:rsid w:val="003A4FA3"/>
    <w:rsid w:val="003A5209"/>
    <w:rsid w:val="003B353E"/>
    <w:rsid w:val="003B38F2"/>
    <w:rsid w:val="003B4228"/>
    <w:rsid w:val="003B71C2"/>
    <w:rsid w:val="003C03B9"/>
    <w:rsid w:val="003C1500"/>
    <w:rsid w:val="003C6177"/>
    <w:rsid w:val="003D16F2"/>
    <w:rsid w:val="003D5CAE"/>
    <w:rsid w:val="003D7333"/>
    <w:rsid w:val="003E360B"/>
    <w:rsid w:val="003E70FE"/>
    <w:rsid w:val="003F0BBF"/>
    <w:rsid w:val="003F6A14"/>
    <w:rsid w:val="00407B1A"/>
    <w:rsid w:val="0041267A"/>
    <w:rsid w:val="00413947"/>
    <w:rsid w:val="00413DCA"/>
    <w:rsid w:val="00414EE1"/>
    <w:rsid w:val="0041727E"/>
    <w:rsid w:val="00420C2D"/>
    <w:rsid w:val="00423FE1"/>
    <w:rsid w:val="00426A00"/>
    <w:rsid w:val="004316C5"/>
    <w:rsid w:val="00435EA8"/>
    <w:rsid w:val="0044242B"/>
    <w:rsid w:val="00442A14"/>
    <w:rsid w:val="00444EDE"/>
    <w:rsid w:val="00450779"/>
    <w:rsid w:val="00451C56"/>
    <w:rsid w:val="00452449"/>
    <w:rsid w:val="0045346A"/>
    <w:rsid w:val="004547E0"/>
    <w:rsid w:val="00455721"/>
    <w:rsid w:val="00457F7E"/>
    <w:rsid w:val="00466599"/>
    <w:rsid w:val="00475636"/>
    <w:rsid w:val="004762B4"/>
    <w:rsid w:val="00477C1A"/>
    <w:rsid w:val="004816A5"/>
    <w:rsid w:val="0048226E"/>
    <w:rsid w:val="004902CE"/>
    <w:rsid w:val="00491B4C"/>
    <w:rsid w:val="004935C7"/>
    <w:rsid w:val="0049526A"/>
    <w:rsid w:val="004A1031"/>
    <w:rsid w:val="004A20D3"/>
    <w:rsid w:val="004A2602"/>
    <w:rsid w:val="004A505B"/>
    <w:rsid w:val="004A5534"/>
    <w:rsid w:val="004A6859"/>
    <w:rsid w:val="004B10E2"/>
    <w:rsid w:val="004B3285"/>
    <w:rsid w:val="004B408B"/>
    <w:rsid w:val="004B4563"/>
    <w:rsid w:val="004B47B5"/>
    <w:rsid w:val="004B57D5"/>
    <w:rsid w:val="004B5F1F"/>
    <w:rsid w:val="004B66CC"/>
    <w:rsid w:val="004C1B7C"/>
    <w:rsid w:val="004C1F7B"/>
    <w:rsid w:val="004C46B4"/>
    <w:rsid w:val="004C6FB8"/>
    <w:rsid w:val="004C7355"/>
    <w:rsid w:val="004D2231"/>
    <w:rsid w:val="004D3A82"/>
    <w:rsid w:val="004D73D3"/>
    <w:rsid w:val="004E0B54"/>
    <w:rsid w:val="004E2E2A"/>
    <w:rsid w:val="004E4225"/>
    <w:rsid w:val="004E7E42"/>
    <w:rsid w:val="004F029F"/>
    <w:rsid w:val="004F145E"/>
    <w:rsid w:val="004F19A2"/>
    <w:rsid w:val="004F2862"/>
    <w:rsid w:val="004F41ED"/>
    <w:rsid w:val="004F7E51"/>
    <w:rsid w:val="00500CAF"/>
    <w:rsid w:val="00500ED6"/>
    <w:rsid w:val="0050215A"/>
    <w:rsid w:val="00502365"/>
    <w:rsid w:val="0050340F"/>
    <w:rsid w:val="0050543B"/>
    <w:rsid w:val="00505BD1"/>
    <w:rsid w:val="00507CE1"/>
    <w:rsid w:val="0051222D"/>
    <w:rsid w:val="005125BC"/>
    <w:rsid w:val="0051614A"/>
    <w:rsid w:val="00516CFD"/>
    <w:rsid w:val="005207BE"/>
    <w:rsid w:val="00521727"/>
    <w:rsid w:val="00522B04"/>
    <w:rsid w:val="005328F6"/>
    <w:rsid w:val="00532D6A"/>
    <w:rsid w:val="005363BD"/>
    <w:rsid w:val="00537870"/>
    <w:rsid w:val="00540BF1"/>
    <w:rsid w:val="005421B6"/>
    <w:rsid w:val="005445F1"/>
    <w:rsid w:val="00547A7E"/>
    <w:rsid w:val="00552ACB"/>
    <w:rsid w:val="00556015"/>
    <w:rsid w:val="00557355"/>
    <w:rsid w:val="0056036B"/>
    <w:rsid w:val="005603CF"/>
    <w:rsid w:val="00561339"/>
    <w:rsid w:val="0056196A"/>
    <w:rsid w:val="00562231"/>
    <w:rsid w:val="00562835"/>
    <w:rsid w:val="00572196"/>
    <w:rsid w:val="005733AD"/>
    <w:rsid w:val="005733FB"/>
    <w:rsid w:val="0057503B"/>
    <w:rsid w:val="005752FB"/>
    <w:rsid w:val="0057542E"/>
    <w:rsid w:val="00575E0A"/>
    <w:rsid w:val="00580738"/>
    <w:rsid w:val="00580927"/>
    <w:rsid w:val="005815C2"/>
    <w:rsid w:val="00581B02"/>
    <w:rsid w:val="00582341"/>
    <w:rsid w:val="005832BD"/>
    <w:rsid w:val="00583A55"/>
    <w:rsid w:val="005868A1"/>
    <w:rsid w:val="00586B47"/>
    <w:rsid w:val="005945A0"/>
    <w:rsid w:val="00594707"/>
    <w:rsid w:val="0059586A"/>
    <w:rsid w:val="00596C51"/>
    <w:rsid w:val="00596F2E"/>
    <w:rsid w:val="005A51DE"/>
    <w:rsid w:val="005A65B0"/>
    <w:rsid w:val="005B206D"/>
    <w:rsid w:val="005B723C"/>
    <w:rsid w:val="005C0DAD"/>
    <w:rsid w:val="005C1742"/>
    <w:rsid w:val="005C19DB"/>
    <w:rsid w:val="005C4287"/>
    <w:rsid w:val="005D09BA"/>
    <w:rsid w:val="005D1866"/>
    <w:rsid w:val="005D2286"/>
    <w:rsid w:val="005D2B7C"/>
    <w:rsid w:val="005D3428"/>
    <w:rsid w:val="005D59F8"/>
    <w:rsid w:val="005D7A02"/>
    <w:rsid w:val="005E12DB"/>
    <w:rsid w:val="005E198F"/>
    <w:rsid w:val="005E1A24"/>
    <w:rsid w:val="005E3C45"/>
    <w:rsid w:val="005E433B"/>
    <w:rsid w:val="005E5BF4"/>
    <w:rsid w:val="005F04FF"/>
    <w:rsid w:val="005F237C"/>
    <w:rsid w:val="005F4319"/>
    <w:rsid w:val="005F5276"/>
    <w:rsid w:val="005F5341"/>
    <w:rsid w:val="005F6C09"/>
    <w:rsid w:val="00600AFA"/>
    <w:rsid w:val="00600D14"/>
    <w:rsid w:val="00602257"/>
    <w:rsid w:val="006028D2"/>
    <w:rsid w:val="00603D0C"/>
    <w:rsid w:val="006102D9"/>
    <w:rsid w:val="006119B3"/>
    <w:rsid w:val="00613553"/>
    <w:rsid w:val="006156B0"/>
    <w:rsid w:val="00622824"/>
    <w:rsid w:val="00624A54"/>
    <w:rsid w:val="0062507E"/>
    <w:rsid w:val="00627078"/>
    <w:rsid w:val="006304B3"/>
    <w:rsid w:val="00635EB4"/>
    <w:rsid w:val="00635FD9"/>
    <w:rsid w:val="00636B0C"/>
    <w:rsid w:val="006403F6"/>
    <w:rsid w:val="0064391D"/>
    <w:rsid w:val="006447E9"/>
    <w:rsid w:val="006452A8"/>
    <w:rsid w:val="00645A8B"/>
    <w:rsid w:val="006461BA"/>
    <w:rsid w:val="00651DCC"/>
    <w:rsid w:val="00652651"/>
    <w:rsid w:val="00652C29"/>
    <w:rsid w:val="00654449"/>
    <w:rsid w:val="00655054"/>
    <w:rsid w:val="00655567"/>
    <w:rsid w:val="00657340"/>
    <w:rsid w:val="00661987"/>
    <w:rsid w:val="00663217"/>
    <w:rsid w:val="00665660"/>
    <w:rsid w:val="00665B6D"/>
    <w:rsid w:val="00666881"/>
    <w:rsid w:val="006707A4"/>
    <w:rsid w:val="00671C71"/>
    <w:rsid w:val="0067206E"/>
    <w:rsid w:val="00672C19"/>
    <w:rsid w:val="006752D3"/>
    <w:rsid w:val="006767DE"/>
    <w:rsid w:val="006777F0"/>
    <w:rsid w:val="00677C08"/>
    <w:rsid w:val="00680E64"/>
    <w:rsid w:val="006826A9"/>
    <w:rsid w:val="00683F36"/>
    <w:rsid w:val="0069477C"/>
    <w:rsid w:val="00696FB6"/>
    <w:rsid w:val="006A078E"/>
    <w:rsid w:val="006A0D80"/>
    <w:rsid w:val="006A1638"/>
    <w:rsid w:val="006A39A4"/>
    <w:rsid w:val="006A4C36"/>
    <w:rsid w:val="006A4FC6"/>
    <w:rsid w:val="006A6DCE"/>
    <w:rsid w:val="006B04B6"/>
    <w:rsid w:val="006B0996"/>
    <w:rsid w:val="006B1B4C"/>
    <w:rsid w:val="006B3D0D"/>
    <w:rsid w:val="006B4052"/>
    <w:rsid w:val="006B514D"/>
    <w:rsid w:val="006B5EE3"/>
    <w:rsid w:val="006C01DA"/>
    <w:rsid w:val="006C346A"/>
    <w:rsid w:val="006D174C"/>
    <w:rsid w:val="006D5FCA"/>
    <w:rsid w:val="006D6F41"/>
    <w:rsid w:val="006E046F"/>
    <w:rsid w:val="006E06AC"/>
    <w:rsid w:val="006E328A"/>
    <w:rsid w:val="006E4B5F"/>
    <w:rsid w:val="006E7D43"/>
    <w:rsid w:val="006F0889"/>
    <w:rsid w:val="006F14AB"/>
    <w:rsid w:val="006F2452"/>
    <w:rsid w:val="006F2D0B"/>
    <w:rsid w:val="006F4B99"/>
    <w:rsid w:val="006F5949"/>
    <w:rsid w:val="007005D6"/>
    <w:rsid w:val="00700DF0"/>
    <w:rsid w:val="00705BA3"/>
    <w:rsid w:val="00706348"/>
    <w:rsid w:val="007069A4"/>
    <w:rsid w:val="00715195"/>
    <w:rsid w:val="00716A57"/>
    <w:rsid w:val="00721463"/>
    <w:rsid w:val="00721793"/>
    <w:rsid w:val="00722796"/>
    <w:rsid w:val="00727446"/>
    <w:rsid w:val="00727752"/>
    <w:rsid w:val="007314E8"/>
    <w:rsid w:val="007322B9"/>
    <w:rsid w:val="007328E0"/>
    <w:rsid w:val="00732B75"/>
    <w:rsid w:val="00733041"/>
    <w:rsid w:val="00734F5F"/>
    <w:rsid w:val="007372B0"/>
    <w:rsid w:val="007373ED"/>
    <w:rsid w:val="0073785D"/>
    <w:rsid w:val="00740B3C"/>
    <w:rsid w:val="00741A36"/>
    <w:rsid w:val="00741D84"/>
    <w:rsid w:val="00742C23"/>
    <w:rsid w:val="00744356"/>
    <w:rsid w:val="00744E85"/>
    <w:rsid w:val="007464FE"/>
    <w:rsid w:val="00750405"/>
    <w:rsid w:val="00752068"/>
    <w:rsid w:val="0075271D"/>
    <w:rsid w:val="00754C43"/>
    <w:rsid w:val="00755DDE"/>
    <w:rsid w:val="00761D44"/>
    <w:rsid w:val="00762023"/>
    <w:rsid w:val="00763484"/>
    <w:rsid w:val="00763EF2"/>
    <w:rsid w:val="00767496"/>
    <w:rsid w:val="00767FB4"/>
    <w:rsid w:val="00772260"/>
    <w:rsid w:val="00772C86"/>
    <w:rsid w:val="00775751"/>
    <w:rsid w:val="00780ED3"/>
    <w:rsid w:val="007836FA"/>
    <w:rsid w:val="00783980"/>
    <w:rsid w:val="00784D77"/>
    <w:rsid w:val="0078776D"/>
    <w:rsid w:val="00790ACD"/>
    <w:rsid w:val="00790DA8"/>
    <w:rsid w:val="007911F2"/>
    <w:rsid w:val="007918FA"/>
    <w:rsid w:val="00793C12"/>
    <w:rsid w:val="00794112"/>
    <w:rsid w:val="00796AE3"/>
    <w:rsid w:val="007978E0"/>
    <w:rsid w:val="007A5187"/>
    <w:rsid w:val="007A537D"/>
    <w:rsid w:val="007A75D2"/>
    <w:rsid w:val="007A7D64"/>
    <w:rsid w:val="007B208E"/>
    <w:rsid w:val="007B22C6"/>
    <w:rsid w:val="007B35E3"/>
    <w:rsid w:val="007B3B4C"/>
    <w:rsid w:val="007B45D7"/>
    <w:rsid w:val="007B4845"/>
    <w:rsid w:val="007B4DD1"/>
    <w:rsid w:val="007B7590"/>
    <w:rsid w:val="007C0D56"/>
    <w:rsid w:val="007C1C43"/>
    <w:rsid w:val="007C39D8"/>
    <w:rsid w:val="007C5690"/>
    <w:rsid w:val="007D20A1"/>
    <w:rsid w:val="007E2001"/>
    <w:rsid w:val="007E410B"/>
    <w:rsid w:val="007E5A45"/>
    <w:rsid w:val="007F164D"/>
    <w:rsid w:val="007F17A3"/>
    <w:rsid w:val="007F1C7C"/>
    <w:rsid w:val="007F4FF9"/>
    <w:rsid w:val="007F550A"/>
    <w:rsid w:val="007F5652"/>
    <w:rsid w:val="0080422F"/>
    <w:rsid w:val="00807BDE"/>
    <w:rsid w:val="0081536E"/>
    <w:rsid w:val="0082064E"/>
    <w:rsid w:val="00820F11"/>
    <w:rsid w:val="008222BA"/>
    <w:rsid w:val="008245B9"/>
    <w:rsid w:val="00825009"/>
    <w:rsid w:val="00825D3F"/>
    <w:rsid w:val="00831ED4"/>
    <w:rsid w:val="008335AC"/>
    <w:rsid w:val="008356A5"/>
    <w:rsid w:val="008371A2"/>
    <w:rsid w:val="00840BBF"/>
    <w:rsid w:val="00841FED"/>
    <w:rsid w:val="00844D62"/>
    <w:rsid w:val="008464D1"/>
    <w:rsid w:val="00855A59"/>
    <w:rsid w:val="00857BAF"/>
    <w:rsid w:val="00860E12"/>
    <w:rsid w:val="00860E37"/>
    <w:rsid w:val="0086324C"/>
    <w:rsid w:val="00863623"/>
    <w:rsid w:val="00874AD5"/>
    <w:rsid w:val="00875774"/>
    <w:rsid w:val="008766A5"/>
    <w:rsid w:val="00876B81"/>
    <w:rsid w:val="0088066E"/>
    <w:rsid w:val="00880FCF"/>
    <w:rsid w:val="00882021"/>
    <w:rsid w:val="00883B61"/>
    <w:rsid w:val="00885120"/>
    <w:rsid w:val="00885D99"/>
    <w:rsid w:val="00886124"/>
    <w:rsid w:val="00886696"/>
    <w:rsid w:val="008A0944"/>
    <w:rsid w:val="008A41E8"/>
    <w:rsid w:val="008A5891"/>
    <w:rsid w:val="008B03EF"/>
    <w:rsid w:val="008B08BB"/>
    <w:rsid w:val="008B2B58"/>
    <w:rsid w:val="008B565F"/>
    <w:rsid w:val="008C098D"/>
    <w:rsid w:val="008C0FB6"/>
    <w:rsid w:val="008C10DD"/>
    <w:rsid w:val="008C383F"/>
    <w:rsid w:val="008C7908"/>
    <w:rsid w:val="008D0398"/>
    <w:rsid w:val="008D1D88"/>
    <w:rsid w:val="008D5E7B"/>
    <w:rsid w:val="008D71FA"/>
    <w:rsid w:val="008F58F1"/>
    <w:rsid w:val="008F6369"/>
    <w:rsid w:val="008F6E93"/>
    <w:rsid w:val="008F7622"/>
    <w:rsid w:val="008F7ED6"/>
    <w:rsid w:val="00900D7A"/>
    <w:rsid w:val="00901353"/>
    <w:rsid w:val="009041DA"/>
    <w:rsid w:val="009053D5"/>
    <w:rsid w:val="009062DC"/>
    <w:rsid w:val="00910564"/>
    <w:rsid w:val="009117DB"/>
    <w:rsid w:val="00912011"/>
    <w:rsid w:val="009140B3"/>
    <w:rsid w:val="0091457C"/>
    <w:rsid w:val="00917966"/>
    <w:rsid w:val="009215D8"/>
    <w:rsid w:val="00921A68"/>
    <w:rsid w:val="009277B0"/>
    <w:rsid w:val="00933135"/>
    <w:rsid w:val="009345EE"/>
    <w:rsid w:val="0093586E"/>
    <w:rsid w:val="00937906"/>
    <w:rsid w:val="0094339E"/>
    <w:rsid w:val="0094503C"/>
    <w:rsid w:val="0094526C"/>
    <w:rsid w:val="009468EF"/>
    <w:rsid w:val="00947A24"/>
    <w:rsid w:val="009504A6"/>
    <w:rsid w:val="00950C99"/>
    <w:rsid w:val="00954248"/>
    <w:rsid w:val="00960E39"/>
    <w:rsid w:val="00963423"/>
    <w:rsid w:val="00964FB1"/>
    <w:rsid w:val="009662CE"/>
    <w:rsid w:val="0096676E"/>
    <w:rsid w:val="009768ED"/>
    <w:rsid w:val="00986A9B"/>
    <w:rsid w:val="00987CFF"/>
    <w:rsid w:val="00990AEF"/>
    <w:rsid w:val="00991F51"/>
    <w:rsid w:val="009925CA"/>
    <w:rsid w:val="009929C1"/>
    <w:rsid w:val="009A250A"/>
    <w:rsid w:val="009A7A7D"/>
    <w:rsid w:val="009B03F9"/>
    <w:rsid w:val="009B3849"/>
    <w:rsid w:val="009B4262"/>
    <w:rsid w:val="009B6236"/>
    <w:rsid w:val="009B68B6"/>
    <w:rsid w:val="009B7B7C"/>
    <w:rsid w:val="009C47A1"/>
    <w:rsid w:val="009C54B0"/>
    <w:rsid w:val="009C59BE"/>
    <w:rsid w:val="009C6B31"/>
    <w:rsid w:val="009C7D3B"/>
    <w:rsid w:val="009D31C0"/>
    <w:rsid w:val="009D768A"/>
    <w:rsid w:val="009E0531"/>
    <w:rsid w:val="009E0D2F"/>
    <w:rsid w:val="009E0E0C"/>
    <w:rsid w:val="009E4924"/>
    <w:rsid w:val="009E5286"/>
    <w:rsid w:val="009E65DD"/>
    <w:rsid w:val="009E73C3"/>
    <w:rsid w:val="009F0EDA"/>
    <w:rsid w:val="009F7EB9"/>
    <w:rsid w:val="00A00B51"/>
    <w:rsid w:val="00A00EF5"/>
    <w:rsid w:val="00A0230E"/>
    <w:rsid w:val="00A06EE2"/>
    <w:rsid w:val="00A115E5"/>
    <w:rsid w:val="00A1321C"/>
    <w:rsid w:val="00A25E5C"/>
    <w:rsid w:val="00A26502"/>
    <w:rsid w:val="00A32414"/>
    <w:rsid w:val="00A32D3B"/>
    <w:rsid w:val="00A3326D"/>
    <w:rsid w:val="00A339C2"/>
    <w:rsid w:val="00A34CAA"/>
    <w:rsid w:val="00A368F1"/>
    <w:rsid w:val="00A368F7"/>
    <w:rsid w:val="00A44A16"/>
    <w:rsid w:val="00A4522E"/>
    <w:rsid w:val="00A67AF6"/>
    <w:rsid w:val="00A7488B"/>
    <w:rsid w:val="00A74C57"/>
    <w:rsid w:val="00A752FA"/>
    <w:rsid w:val="00A81DF5"/>
    <w:rsid w:val="00A86D57"/>
    <w:rsid w:val="00A90213"/>
    <w:rsid w:val="00A929C0"/>
    <w:rsid w:val="00A95CBA"/>
    <w:rsid w:val="00A95D36"/>
    <w:rsid w:val="00A96957"/>
    <w:rsid w:val="00AA1132"/>
    <w:rsid w:val="00AA33D8"/>
    <w:rsid w:val="00AA57B7"/>
    <w:rsid w:val="00AA6E4D"/>
    <w:rsid w:val="00AB0949"/>
    <w:rsid w:val="00AB1134"/>
    <w:rsid w:val="00AB2B94"/>
    <w:rsid w:val="00AC051C"/>
    <w:rsid w:val="00AC1588"/>
    <w:rsid w:val="00AC4B3F"/>
    <w:rsid w:val="00AC6D29"/>
    <w:rsid w:val="00AC7A44"/>
    <w:rsid w:val="00AD0E1F"/>
    <w:rsid w:val="00AD4D71"/>
    <w:rsid w:val="00AE1560"/>
    <w:rsid w:val="00AE5127"/>
    <w:rsid w:val="00AE5FDB"/>
    <w:rsid w:val="00AF147F"/>
    <w:rsid w:val="00AF18E7"/>
    <w:rsid w:val="00AF227A"/>
    <w:rsid w:val="00AF43DF"/>
    <w:rsid w:val="00AF5758"/>
    <w:rsid w:val="00B00749"/>
    <w:rsid w:val="00B04CB2"/>
    <w:rsid w:val="00B05029"/>
    <w:rsid w:val="00B05BA4"/>
    <w:rsid w:val="00B1033C"/>
    <w:rsid w:val="00B12E26"/>
    <w:rsid w:val="00B1694E"/>
    <w:rsid w:val="00B26EA1"/>
    <w:rsid w:val="00B3579E"/>
    <w:rsid w:val="00B36820"/>
    <w:rsid w:val="00B376D0"/>
    <w:rsid w:val="00B40ED5"/>
    <w:rsid w:val="00B46F73"/>
    <w:rsid w:val="00B47742"/>
    <w:rsid w:val="00B50319"/>
    <w:rsid w:val="00B51BE5"/>
    <w:rsid w:val="00B53B98"/>
    <w:rsid w:val="00B54A23"/>
    <w:rsid w:val="00B55543"/>
    <w:rsid w:val="00B5592B"/>
    <w:rsid w:val="00B57F70"/>
    <w:rsid w:val="00B62A9F"/>
    <w:rsid w:val="00B62DED"/>
    <w:rsid w:val="00B63359"/>
    <w:rsid w:val="00B64314"/>
    <w:rsid w:val="00B652E6"/>
    <w:rsid w:val="00B65CDF"/>
    <w:rsid w:val="00B65FE8"/>
    <w:rsid w:val="00B704A5"/>
    <w:rsid w:val="00B71513"/>
    <w:rsid w:val="00B72470"/>
    <w:rsid w:val="00B729BB"/>
    <w:rsid w:val="00B801AA"/>
    <w:rsid w:val="00B8234B"/>
    <w:rsid w:val="00B84B43"/>
    <w:rsid w:val="00B85A1E"/>
    <w:rsid w:val="00B87064"/>
    <w:rsid w:val="00B87E6D"/>
    <w:rsid w:val="00B90227"/>
    <w:rsid w:val="00B92B12"/>
    <w:rsid w:val="00B95731"/>
    <w:rsid w:val="00B95AB4"/>
    <w:rsid w:val="00BA1AFE"/>
    <w:rsid w:val="00BA4190"/>
    <w:rsid w:val="00BB02FE"/>
    <w:rsid w:val="00BB21E3"/>
    <w:rsid w:val="00BB2574"/>
    <w:rsid w:val="00BB4714"/>
    <w:rsid w:val="00BC0382"/>
    <w:rsid w:val="00BC432B"/>
    <w:rsid w:val="00BC5FDB"/>
    <w:rsid w:val="00BC6776"/>
    <w:rsid w:val="00BC6AD6"/>
    <w:rsid w:val="00BC7F3E"/>
    <w:rsid w:val="00BD06BB"/>
    <w:rsid w:val="00BD07EA"/>
    <w:rsid w:val="00BD2969"/>
    <w:rsid w:val="00BD37F1"/>
    <w:rsid w:val="00BD3BAA"/>
    <w:rsid w:val="00BD46A7"/>
    <w:rsid w:val="00BD4C7C"/>
    <w:rsid w:val="00BD4F8D"/>
    <w:rsid w:val="00BD5887"/>
    <w:rsid w:val="00BD776A"/>
    <w:rsid w:val="00BE0394"/>
    <w:rsid w:val="00BE3C5C"/>
    <w:rsid w:val="00BE48F7"/>
    <w:rsid w:val="00BE5A48"/>
    <w:rsid w:val="00BE7886"/>
    <w:rsid w:val="00BF5E06"/>
    <w:rsid w:val="00BF65A1"/>
    <w:rsid w:val="00BF6D39"/>
    <w:rsid w:val="00BF7E34"/>
    <w:rsid w:val="00C00EBF"/>
    <w:rsid w:val="00C025BB"/>
    <w:rsid w:val="00C10FA3"/>
    <w:rsid w:val="00C13CA2"/>
    <w:rsid w:val="00C14566"/>
    <w:rsid w:val="00C22092"/>
    <w:rsid w:val="00C23C31"/>
    <w:rsid w:val="00C24640"/>
    <w:rsid w:val="00C24985"/>
    <w:rsid w:val="00C24F4D"/>
    <w:rsid w:val="00C256A6"/>
    <w:rsid w:val="00C25D01"/>
    <w:rsid w:val="00C270EA"/>
    <w:rsid w:val="00C274C3"/>
    <w:rsid w:val="00C30706"/>
    <w:rsid w:val="00C30EC5"/>
    <w:rsid w:val="00C32C88"/>
    <w:rsid w:val="00C41439"/>
    <w:rsid w:val="00C41DB7"/>
    <w:rsid w:val="00C464ED"/>
    <w:rsid w:val="00C4683A"/>
    <w:rsid w:val="00C52D17"/>
    <w:rsid w:val="00C54190"/>
    <w:rsid w:val="00C54290"/>
    <w:rsid w:val="00C54CC0"/>
    <w:rsid w:val="00C61C6A"/>
    <w:rsid w:val="00C6239D"/>
    <w:rsid w:val="00C6766F"/>
    <w:rsid w:val="00C7491D"/>
    <w:rsid w:val="00C7567D"/>
    <w:rsid w:val="00C76357"/>
    <w:rsid w:val="00C840B7"/>
    <w:rsid w:val="00C848BB"/>
    <w:rsid w:val="00C90BF7"/>
    <w:rsid w:val="00C93505"/>
    <w:rsid w:val="00C94260"/>
    <w:rsid w:val="00CA38E4"/>
    <w:rsid w:val="00CA5EC1"/>
    <w:rsid w:val="00CA62A1"/>
    <w:rsid w:val="00CB2CF6"/>
    <w:rsid w:val="00CB354B"/>
    <w:rsid w:val="00CB5E85"/>
    <w:rsid w:val="00CB7775"/>
    <w:rsid w:val="00CC0887"/>
    <w:rsid w:val="00CC098E"/>
    <w:rsid w:val="00CC3E69"/>
    <w:rsid w:val="00CC7CC8"/>
    <w:rsid w:val="00CD053B"/>
    <w:rsid w:val="00CD1BF4"/>
    <w:rsid w:val="00CD2825"/>
    <w:rsid w:val="00CE126E"/>
    <w:rsid w:val="00CE16EC"/>
    <w:rsid w:val="00CE3047"/>
    <w:rsid w:val="00CE445D"/>
    <w:rsid w:val="00CE57FF"/>
    <w:rsid w:val="00CF1DFD"/>
    <w:rsid w:val="00CF2C17"/>
    <w:rsid w:val="00CF36A6"/>
    <w:rsid w:val="00CF4FEF"/>
    <w:rsid w:val="00D03CE6"/>
    <w:rsid w:val="00D03EEC"/>
    <w:rsid w:val="00D07852"/>
    <w:rsid w:val="00D15119"/>
    <w:rsid w:val="00D171C5"/>
    <w:rsid w:val="00D17C27"/>
    <w:rsid w:val="00D21619"/>
    <w:rsid w:val="00D21D51"/>
    <w:rsid w:val="00D22F95"/>
    <w:rsid w:val="00D24F68"/>
    <w:rsid w:val="00D25CB9"/>
    <w:rsid w:val="00D2637D"/>
    <w:rsid w:val="00D272D8"/>
    <w:rsid w:val="00D27955"/>
    <w:rsid w:val="00D30F15"/>
    <w:rsid w:val="00D31679"/>
    <w:rsid w:val="00D34426"/>
    <w:rsid w:val="00D353BC"/>
    <w:rsid w:val="00D37308"/>
    <w:rsid w:val="00D413EC"/>
    <w:rsid w:val="00D4215F"/>
    <w:rsid w:val="00D45169"/>
    <w:rsid w:val="00D47B67"/>
    <w:rsid w:val="00D51713"/>
    <w:rsid w:val="00D5295B"/>
    <w:rsid w:val="00D54B0E"/>
    <w:rsid w:val="00D55A91"/>
    <w:rsid w:val="00D57B92"/>
    <w:rsid w:val="00D601D5"/>
    <w:rsid w:val="00D60AD7"/>
    <w:rsid w:val="00D63324"/>
    <w:rsid w:val="00D63459"/>
    <w:rsid w:val="00D65032"/>
    <w:rsid w:val="00D67465"/>
    <w:rsid w:val="00D67B61"/>
    <w:rsid w:val="00D700B9"/>
    <w:rsid w:val="00D711B2"/>
    <w:rsid w:val="00D81CFC"/>
    <w:rsid w:val="00D839E5"/>
    <w:rsid w:val="00D84F75"/>
    <w:rsid w:val="00D85099"/>
    <w:rsid w:val="00D8668D"/>
    <w:rsid w:val="00D92807"/>
    <w:rsid w:val="00DA21CD"/>
    <w:rsid w:val="00DA3C86"/>
    <w:rsid w:val="00DA3F00"/>
    <w:rsid w:val="00DA5182"/>
    <w:rsid w:val="00DA51B9"/>
    <w:rsid w:val="00DA5E41"/>
    <w:rsid w:val="00DA7729"/>
    <w:rsid w:val="00DB54AB"/>
    <w:rsid w:val="00DB5CEC"/>
    <w:rsid w:val="00DC2C79"/>
    <w:rsid w:val="00DC4562"/>
    <w:rsid w:val="00DC4913"/>
    <w:rsid w:val="00DC4C1A"/>
    <w:rsid w:val="00DD19D2"/>
    <w:rsid w:val="00DD27A0"/>
    <w:rsid w:val="00DD723A"/>
    <w:rsid w:val="00DE38FC"/>
    <w:rsid w:val="00DE41B1"/>
    <w:rsid w:val="00DE4D88"/>
    <w:rsid w:val="00DF081C"/>
    <w:rsid w:val="00DF0FF9"/>
    <w:rsid w:val="00DF1D0F"/>
    <w:rsid w:val="00DF1FF6"/>
    <w:rsid w:val="00DF44B0"/>
    <w:rsid w:val="00DF4AA0"/>
    <w:rsid w:val="00E01650"/>
    <w:rsid w:val="00E0226B"/>
    <w:rsid w:val="00E045D3"/>
    <w:rsid w:val="00E10EC3"/>
    <w:rsid w:val="00E139AE"/>
    <w:rsid w:val="00E16BA3"/>
    <w:rsid w:val="00E2015C"/>
    <w:rsid w:val="00E25431"/>
    <w:rsid w:val="00E256FD"/>
    <w:rsid w:val="00E320B8"/>
    <w:rsid w:val="00E326C3"/>
    <w:rsid w:val="00E41402"/>
    <w:rsid w:val="00E423E5"/>
    <w:rsid w:val="00E43068"/>
    <w:rsid w:val="00E44D7E"/>
    <w:rsid w:val="00E450DD"/>
    <w:rsid w:val="00E5639D"/>
    <w:rsid w:val="00E60943"/>
    <w:rsid w:val="00E61A3C"/>
    <w:rsid w:val="00E6207A"/>
    <w:rsid w:val="00E64A9F"/>
    <w:rsid w:val="00E74E25"/>
    <w:rsid w:val="00E75CCE"/>
    <w:rsid w:val="00E773AD"/>
    <w:rsid w:val="00E84A93"/>
    <w:rsid w:val="00E85499"/>
    <w:rsid w:val="00E871AE"/>
    <w:rsid w:val="00E90B8F"/>
    <w:rsid w:val="00E90BCE"/>
    <w:rsid w:val="00E90D8F"/>
    <w:rsid w:val="00E95222"/>
    <w:rsid w:val="00E9717D"/>
    <w:rsid w:val="00EA0673"/>
    <w:rsid w:val="00EA20D2"/>
    <w:rsid w:val="00EA3FBC"/>
    <w:rsid w:val="00EA5935"/>
    <w:rsid w:val="00EB00B3"/>
    <w:rsid w:val="00EB2ADF"/>
    <w:rsid w:val="00EB2D07"/>
    <w:rsid w:val="00EB7243"/>
    <w:rsid w:val="00EB757D"/>
    <w:rsid w:val="00EB7EFE"/>
    <w:rsid w:val="00EC0237"/>
    <w:rsid w:val="00EC1F27"/>
    <w:rsid w:val="00EC2990"/>
    <w:rsid w:val="00EC6342"/>
    <w:rsid w:val="00EC740C"/>
    <w:rsid w:val="00ED0859"/>
    <w:rsid w:val="00ED1BFF"/>
    <w:rsid w:val="00ED29E2"/>
    <w:rsid w:val="00ED3731"/>
    <w:rsid w:val="00ED425E"/>
    <w:rsid w:val="00ED50CA"/>
    <w:rsid w:val="00EE1419"/>
    <w:rsid w:val="00EE2D5A"/>
    <w:rsid w:val="00EE393B"/>
    <w:rsid w:val="00EE39C2"/>
    <w:rsid w:val="00EE77A0"/>
    <w:rsid w:val="00EE78A9"/>
    <w:rsid w:val="00EF2990"/>
    <w:rsid w:val="00EF37BE"/>
    <w:rsid w:val="00EF4810"/>
    <w:rsid w:val="00EF5748"/>
    <w:rsid w:val="00EF60DA"/>
    <w:rsid w:val="00EF7C83"/>
    <w:rsid w:val="00F036BB"/>
    <w:rsid w:val="00F045F4"/>
    <w:rsid w:val="00F051B3"/>
    <w:rsid w:val="00F07F14"/>
    <w:rsid w:val="00F11574"/>
    <w:rsid w:val="00F20851"/>
    <w:rsid w:val="00F21FC2"/>
    <w:rsid w:val="00F309F6"/>
    <w:rsid w:val="00F31F8F"/>
    <w:rsid w:val="00F365D3"/>
    <w:rsid w:val="00F37CF8"/>
    <w:rsid w:val="00F41592"/>
    <w:rsid w:val="00F42A33"/>
    <w:rsid w:val="00F44720"/>
    <w:rsid w:val="00F44775"/>
    <w:rsid w:val="00F45277"/>
    <w:rsid w:val="00F47784"/>
    <w:rsid w:val="00F47FD1"/>
    <w:rsid w:val="00F50068"/>
    <w:rsid w:val="00F502E8"/>
    <w:rsid w:val="00F51453"/>
    <w:rsid w:val="00F521F8"/>
    <w:rsid w:val="00F52825"/>
    <w:rsid w:val="00F52DFE"/>
    <w:rsid w:val="00F637F1"/>
    <w:rsid w:val="00F655F2"/>
    <w:rsid w:val="00F70FA8"/>
    <w:rsid w:val="00F714FF"/>
    <w:rsid w:val="00F72464"/>
    <w:rsid w:val="00F73400"/>
    <w:rsid w:val="00F76796"/>
    <w:rsid w:val="00F771CF"/>
    <w:rsid w:val="00F80B92"/>
    <w:rsid w:val="00F837A2"/>
    <w:rsid w:val="00F84264"/>
    <w:rsid w:val="00F8593D"/>
    <w:rsid w:val="00F8668F"/>
    <w:rsid w:val="00F9361D"/>
    <w:rsid w:val="00FA1325"/>
    <w:rsid w:val="00FA1A36"/>
    <w:rsid w:val="00FA1CED"/>
    <w:rsid w:val="00FA20FD"/>
    <w:rsid w:val="00FA3F0E"/>
    <w:rsid w:val="00FB0680"/>
    <w:rsid w:val="00FB48A4"/>
    <w:rsid w:val="00FB5696"/>
    <w:rsid w:val="00FB6180"/>
    <w:rsid w:val="00FB75B3"/>
    <w:rsid w:val="00FB7813"/>
    <w:rsid w:val="00FB7860"/>
    <w:rsid w:val="00FC228E"/>
    <w:rsid w:val="00FC2EBC"/>
    <w:rsid w:val="00FC46AC"/>
    <w:rsid w:val="00FC518B"/>
    <w:rsid w:val="00FC5D7C"/>
    <w:rsid w:val="00FC6146"/>
    <w:rsid w:val="00FC6596"/>
    <w:rsid w:val="00FC6784"/>
    <w:rsid w:val="00FC6CFF"/>
    <w:rsid w:val="00FD04C3"/>
    <w:rsid w:val="00FD3BA8"/>
    <w:rsid w:val="00FD7F60"/>
    <w:rsid w:val="00FE0F29"/>
    <w:rsid w:val="00FE61A6"/>
    <w:rsid w:val="00FE6511"/>
    <w:rsid w:val="00FE711A"/>
    <w:rsid w:val="00FF1EA0"/>
    <w:rsid w:val="00FF2C04"/>
    <w:rsid w:val="00FF410A"/>
    <w:rsid w:val="00FF568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nhideWhenUsed="0" w:qFormat="1"/>
    <w:lsdException w:name="heading 4" w:locked="1" w:semiHidden="0" w:unhideWhenUsed="0" w:qFormat="1"/>
    <w:lsdException w:name="heading 5" w:locked="1" w:semiHidden="0" w:uiPriority="9" w:unhideWhenUsed="0" w:qFormat="1"/>
    <w:lsdException w:name="heading 6" w:locked="1" w:semiHidden="0" w:uiPriority="9" w:unhideWhenUsed="0" w:qFormat="1"/>
    <w:lsdException w:name="heading 7" w:locked="1" w:semiHidden="0" w:uiPriority="9" w:unhideWhenUsed="0" w:qFormat="1"/>
    <w:lsdException w:name="heading 8" w:locked="1" w:semiHidden="0" w:uiPriority="9" w:unhideWhenUsed="0" w:qFormat="1"/>
    <w:lsdException w:name="heading 9" w:locked="1"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locked="1" w:semiHidden="0" w:uiPriority="0" w:unhideWhenUsed="0"/>
    <w:lsdException w:name="caption" w:locked="1" w:uiPriority="0" w:qFormat="1"/>
    <w:lsdException w:name="footnote reference" w:uiPriority="0"/>
    <w:lsdException w:name="page number" w:uiPriority="0"/>
    <w:lsdException w:name="Title" w:locked="1" w:semiHidden="0" w:uiPriority="0" w:unhideWhenUsed="0" w:qFormat="1"/>
    <w:lsdException w:name="Default Paragraph Font" w:locked="1" w:semiHidden="0" w:uiPriority="0" w:unhideWhenUsed="0"/>
    <w:lsdException w:name="Body Text Indent" w:uiPriority="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No List" w:locked="1" w:semiHidden="0"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aliases w:val="normální"/>
    <w:qFormat/>
    <w:rsid w:val="00344B76"/>
    <w:pPr>
      <w:spacing w:after="120"/>
      <w:jc w:val="both"/>
    </w:pPr>
    <w:rPr>
      <w:sz w:val="24"/>
      <w:szCs w:val="24"/>
    </w:rPr>
  </w:style>
  <w:style w:type="paragraph" w:styleId="Nadpis1">
    <w:name w:val="heading 1"/>
    <w:aliases w:val="nadpis 1"/>
    <w:basedOn w:val="Normln"/>
    <w:next w:val="Normln"/>
    <w:link w:val="Nadpis1Char"/>
    <w:uiPriority w:val="9"/>
    <w:qFormat/>
    <w:rsid w:val="00AC1588"/>
    <w:pPr>
      <w:keepNext/>
      <w:numPr>
        <w:numId w:val="18"/>
      </w:numPr>
      <w:spacing w:before="240"/>
      <w:ind w:left="360"/>
      <w:jc w:val="center"/>
      <w:outlineLvl w:val="0"/>
    </w:pPr>
    <w:rPr>
      <w:rFonts w:cs="Arial"/>
      <w:b/>
      <w:bCs/>
      <w:kern w:val="32"/>
      <w:sz w:val="32"/>
      <w:szCs w:val="32"/>
    </w:rPr>
  </w:style>
  <w:style w:type="paragraph" w:styleId="Nadpis2">
    <w:name w:val="heading 2"/>
    <w:aliases w:val="nadpis 2"/>
    <w:basedOn w:val="Normln"/>
    <w:next w:val="Normln"/>
    <w:link w:val="Nadpis2Char"/>
    <w:uiPriority w:val="9"/>
    <w:qFormat/>
    <w:rsid w:val="00AC1588"/>
    <w:pPr>
      <w:keepNext/>
      <w:numPr>
        <w:ilvl w:val="1"/>
        <w:numId w:val="18"/>
      </w:numPr>
      <w:spacing w:before="240"/>
      <w:jc w:val="center"/>
      <w:outlineLvl w:val="1"/>
    </w:pPr>
    <w:rPr>
      <w:rFonts w:cs="Arial"/>
      <w:b/>
      <w:bCs/>
      <w:iCs/>
      <w:sz w:val="28"/>
      <w:szCs w:val="28"/>
    </w:rPr>
  </w:style>
  <w:style w:type="paragraph" w:styleId="Nadpis3">
    <w:name w:val="heading 3"/>
    <w:aliases w:val="nadpis 3"/>
    <w:basedOn w:val="Normln"/>
    <w:next w:val="Normln"/>
    <w:link w:val="Nadpis3Char"/>
    <w:uiPriority w:val="99"/>
    <w:qFormat/>
    <w:rsid w:val="00DA7729"/>
    <w:pPr>
      <w:keepNext/>
      <w:spacing w:before="240" w:after="60"/>
      <w:outlineLvl w:val="2"/>
    </w:pPr>
    <w:rPr>
      <w:rFonts w:cs="Arial"/>
      <w:b/>
      <w:bCs/>
      <w:szCs w:val="26"/>
    </w:rPr>
  </w:style>
  <w:style w:type="paragraph" w:styleId="Nadpis4">
    <w:name w:val="heading 4"/>
    <w:aliases w:val="nadpis 4"/>
    <w:basedOn w:val="Normln"/>
    <w:next w:val="Normln"/>
    <w:link w:val="Nadpis4Char"/>
    <w:uiPriority w:val="99"/>
    <w:qFormat/>
    <w:rsid w:val="00055BA5"/>
    <w:pPr>
      <w:keepNext/>
      <w:spacing w:before="240" w:after="60"/>
      <w:outlineLvl w:val="3"/>
    </w:pPr>
    <w:rPr>
      <w:b/>
      <w:bCs/>
      <w:szCs w:val="28"/>
    </w:rPr>
  </w:style>
  <w:style w:type="paragraph" w:styleId="Nadpis5">
    <w:name w:val="heading 5"/>
    <w:aliases w:val="nadpis 5"/>
    <w:basedOn w:val="Normln"/>
    <w:next w:val="Normln"/>
    <w:link w:val="Nadpis5Char"/>
    <w:uiPriority w:val="9"/>
    <w:qFormat/>
    <w:rsid w:val="002A56F5"/>
    <w:pPr>
      <w:keepNext/>
      <w:numPr>
        <w:ilvl w:val="4"/>
        <w:numId w:val="18"/>
      </w:numPr>
      <w:spacing w:before="240" w:after="60"/>
      <w:ind w:left="1008" w:hanging="1008"/>
      <w:outlineLvl w:val="4"/>
    </w:pPr>
    <w:rPr>
      <w:b/>
      <w:bCs/>
      <w:iCs/>
      <w:szCs w:val="26"/>
    </w:rPr>
  </w:style>
  <w:style w:type="paragraph" w:styleId="Nadpis6">
    <w:name w:val="heading 6"/>
    <w:basedOn w:val="Normln"/>
    <w:next w:val="Normln"/>
    <w:link w:val="Nadpis6Char"/>
    <w:uiPriority w:val="9"/>
    <w:qFormat/>
    <w:rsid w:val="00276079"/>
    <w:pPr>
      <w:keepNext/>
      <w:keepLines/>
      <w:numPr>
        <w:ilvl w:val="5"/>
        <w:numId w:val="18"/>
      </w:numPr>
      <w:spacing w:before="200"/>
      <w:ind w:left="1152" w:hanging="1152"/>
      <w:outlineLvl w:val="5"/>
    </w:pPr>
    <w:rPr>
      <w:rFonts w:ascii="Cambria" w:hAnsi="Cambria"/>
      <w:i/>
      <w:iCs/>
      <w:color w:val="243F60"/>
    </w:rPr>
  </w:style>
  <w:style w:type="paragraph" w:styleId="Nadpis7">
    <w:name w:val="heading 7"/>
    <w:basedOn w:val="Normln"/>
    <w:next w:val="Normln"/>
    <w:link w:val="Nadpis7Char"/>
    <w:uiPriority w:val="9"/>
    <w:qFormat/>
    <w:rsid w:val="00276079"/>
    <w:pPr>
      <w:keepNext/>
      <w:keepLines/>
      <w:numPr>
        <w:ilvl w:val="6"/>
        <w:numId w:val="18"/>
      </w:numPr>
      <w:spacing w:before="200"/>
      <w:ind w:left="1296" w:hanging="1296"/>
      <w:outlineLvl w:val="6"/>
    </w:pPr>
    <w:rPr>
      <w:rFonts w:ascii="Cambria" w:hAnsi="Cambria"/>
      <w:i/>
      <w:iCs/>
      <w:color w:val="404040"/>
    </w:rPr>
  </w:style>
  <w:style w:type="paragraph" w:styleId="Nadpis8">
    <w:name w:val="heading 8"/>
    <w:basedOn w:val="Normln"/>
    <w:next w:val="Normln"/>
    <w:link w:val="Nadpis8Char"/>
    <w:uiPriority w:val="9"/>
    <w:qFormat/>
    <w:rsid w:val="00276079"/>
    <w:pPr>
      <w:keepNext/>
      <w:keepLines/>
      <w:numPr>
        <w:ilvl w:val="7"/>
        <w:numId w:val="18"/>
      </w:numPr>
      <w:spacing w:before="200"/>
      <w:ind w:left="1440" w:hanging="1440"/>
      <w:outlineLvl w:val="7"/>
    </w:pPr>
    <w:rPr>
      <w:rFonts w:ascii="Cambria" w:hAnsi="Cambria"/>
      <w:color w:val="404040"/>
      <w:sz w:val="20"/>
      <w:szCs w:val="20"/>
    </w:rPr>
  </w:style>
  <w:style w:type="paragraph" w:styleId="Nadpis9">
    <w:name w:val="heading 9"/>
    <w:basedOn w:val="Normln"/>
    <w:next w:val="Normln"/>
    <w:link w:val="Nadpis9Char"/>
    <w:uiPriority w:val="9"/>
    <w:qFormat/>
    <w:rsid w:val="00276079"/>
    <w:pPr>
      <w:keepNext/>
      <w:keepLines/>
      <w:numPr>
        <w:ilvl w:val="8"/>
        <w:numId w:val="18"/>
      </w:numPr>
      <w:spacing w:before="200"/>
      <w:ind w:left="1584" w:hanging="1584"/>
      <w:outlineLvl w:val="8"/>
    </w:pPr>
    <w:rPr>
      <w:rFonts w:ascii="Cambria" w:hAnsi="Cambria"/>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adpis 1 Char"/>
    <w:basedOn w:val="Standardnpsmoodstavce"/>
    <w:link w:val="Nadpis1"/>
    <w:uiPriority w:val="9"/>
    <w:rsid w:val="00420AF3"/>
    <w:rPr>
      <w:rFonts w:cs="Arial"/>
      <w:b/>
      <w:bCs/>
      <w:kern w:val="32"/>
      <w:sz w:val="32"/>
      <w:szCs w:val="32"/>
    </w:rPr>
  </w:style>
  <w:style w:type="character" w:customStyle="1" w:styleId="Nadpis2Char">
    <w:name w:val="Nadpis 2 Char"/>
    <w:aliases w:val="nadpis 2 Char"/>
    <w:basedOn w:val="Standardnpsmoodstavce"/>
    <w:link w:val="Nadpis2"/>
    <w:uiPriority w:val="9"/>
    <w:locked/>
    <w:rsid w:val="005E5BF4"/>
    <w:rPr>
      <w:rFonts w:cs="Arial"/>
      <w:b/>
      <w:bCs/>
      <w:iCs/>
      <w:sz w:val="28"/>
      <w:szCs w:val="28"/>
    </w:rPr>
  </w:style>
  <w:style w:type="character" w:customStyle="1" w:styleId="Nadpis3Char">
    <w:name w:val="Nadpis 3 Char"/>
    <w:aliases w:val="nadpis 3 Char"/>
    <w:basedOn w:val="Standardnpsmoodstavce"/>
    <w:link w:val="Nadpis3"/>
    <w:uiPriority w:val="99"/>
    <w:rsid w:val="00420AF3"/>
    <w:rPr>
      <w:rFonts w:asciiTheme="majorHAnsi" w:eastAsiaTheme="majorEastAsia" w:hAnsiTheme="majorHAnsi" w:cstheme="majorBidi"/>
      <w:b/>
      <w:bCs/>
      <w:sz w:val="26"/>
      <w:szCs w:val="26"/>
    </w:rPr>
  </w:style>
  <w:style w:type="character" w:customStyle="1" w:styleId="Nadpis4Char">
    <w:name w:val="Nadpis 4 Char"/>
    <w:aliases w:val="nadpis 4 Char"/>
    <w:basedOn w:val="Standardnpsmoodstavce"/>
    <w:link w:val="Nadpis4"/>
    <w:uiPriority w:val="99"/>
    <w:rsid w:val="00420AF3"/>
    <w:rPr>
      <w:rFonts w:asciiTheme="minorHAnsi" w:eastAsiaTheme="minorEastAsia" w:hAnsiTheme="minorHAnsi" w:cstheme="minorBidi"/>
      <w:b/>
      <w:bCs/>
      <w:sz w:val="28"/>
      <w:szCs w:val="28"/>
    </w:rPr>
  </w:style>
  <w:style w:type="character" w:customStyle="1" w:styleId="Nadpis5Char">
    <w:name w:val="Nadpis 5 Char"/>
    <w:aliases w:val="nadpis 5 Char"/>
    <w:basedOn w:val="Standardnpsmoodstavce"/>
    <w:link w:val="Nadpis5"/>
    <w:uiPriority w:val="9"/>
    <w:rsid w:val="00420AF3"/>
    <w:rPr>
      <w:b/>
      <w:bCs/>
      <w:iCs/>
      <w:sz w:val="24"/>
      <w:szCs w:val="26"/>
    </w:rPr>
  </w:style>
  <w:style w:type="character" w:customStyle="1" w:styleId="Nadpis6Char">
    <w:name w:val="Nadpis 6 Char"/>
    <w:basedOn w:val="Standardnpsmoodstavce"/>
    <w:link w:val="Nadpis6"/>
    <w:uiPriority w:val="9"/>
    <w:locked/>
    <w:rsid w:val="00276079"/>
    <w:rPr>
      <w:rFonts w:ascii="Cambria" w:hAnsi="Cambria"/>
      <w:i/>
      <w:iCs/>
      <w:color w:val="243F60"/>
      <w:sz w:val="24"/>
      <w:szCs w:val="24"/>
    </w:rPr>
  </w:style>
  <w:style w:type="character" w:customStyle="1" w:styleId="Nadpis7Char">
    <w:name w:val="Nadpis 7 Char"/>
    <w:basedOn w:val="Standardnpsmoodstavce"/>
    <w:link w:val="Nadpis7"/>
    <w:uiPriority w:val="9"/>
    <w:locked/>
    <w:rsid w:val="00276079"/>
    <w:rPr>
      <w:rFonts w:ascii="Cambria" w:hAnsi="Cambria"/>
      <w:i/>
      <w:iCs/>
      <w:color w:val="404040"/>
      <w:sz w:val="24"/>
      <w:szCs w:val="24"/>
    </w:rPr>
  </w:style>
  <w:style w:type="character" w:customStyle="1" w:styleId="Nadpis8Char">
    <w:name w:val="Nadpis 8 Char"/>
    <w:basedOn w:val="Standardnpsmoodstavce"/>
    <w:link w:val="Nadpis8"/>
    <w:uiPriority w:val="9"/>
    <w:locked/>
    <w:rsid w:val="00276079"/>
    <w:rPr>
      <w:rFonts w:ascii="Cambria" w:hAnsi="Cambria"/>
      <w:color w:val="404040"/>
      <w:sz w:val="20"/>
      <w:szCs w:val="20"/>
    </w:rPr>
  </w:style>
  <w:style w:type="character" w:customStyle="1" w:styleId="Nadpis9Char">
    <w:name w:val="Nadpis 9 Char"/>
    <w:basedOn w:val="Standardnpsmoodstavce"/>
    <w:link w:val="Nadpis9"/>
    <w:uiPriority w:val="9"/>
    <w:locked/>
    <w:rsid w:val="00276079"/>
    <w:rPr>
      <w:rFonts w:ascii="Cambria" w:hAnsi="Cambria"/>
      <w:i/>
      <w:iCs/>
      <w:color w:val="404040"/>
      <w:sz w:val="20"/>
      <w:szCs w:val="20"/>
    </w:rPr>
  </w:style>
  <w:style w:type="paragraph" w:customStyle="1" w:styleId="st">
    <w:name w:val="část"/>
    <w:basedOn w:val="Normln"/>
    <w:next w:val="Normln"/>
    <w:uiPriority w:val="99"/>
    <w:rsid w:val="00CF2C17"/>
    <w:pPr>
      <w:keepNext/>
      <w:spacing w:before="360"/>
      <w:jc w:val="center"/>
      <w:outlineLvl w:val="0"/>
    </w:pPr>
    <w:rPr>
      <w:caps/>
    </w:rPr>
  </w:style>
  <w:style w:type="paragraph" w:customStyle="1" w:styleId="hlava">
    <w:name w:val="hlava"/>
    <w:basedOn w:val="Normln"/>
    <w:next w:val="Normln"/>
    <w:uiPriority w:val="99"/>
    <w:rsid w:val="002F3D0C"/>
    <w:pPr>
      <w:keepNext/>
      <w:spacing w:before="240"/>
      <w:jc w:val="center"/>
      <w:outlineLvl w:val="1"/>
    </w:pPr>
  </w:style>
  <w:style w:type="paragraph" w:customStyle="1" w:styleId="zkon-nadpis">
    <w:name w:val="zákon - nadpis"/>
    <w:basedOn w:val="Normln"/>
    <w:uiPriority w:val="99"/>
    <w:rsid w:val="004E0B54"/>
    <w:pPr>
      <w:jc w:val="center"/>
    </w:pPr>
    <w:rPr>
      <w:b/>
      <w:lang w:val="en-US"/>
    </w:rPr>
  </w:style>
  <w:style w:type="paragraph" w:customStyle="1" w:styleId="dl">
    <w:name w:val="díl"/>
    <w:basedOn w:val="Normln"/>
    <w:next w:val="Normln"/>
    <w:uiPriority w:val="99"/>
    <w:rsid w:val="002F3D0C"/>
    <w:pPr>
      <w:keepNext/>
      <w:spacing w:before="240"/>
      <w:jc w:val="center"/>
      <w:outlineLvl w:val="2"/>
    </w:pPr>
  </w:style>
  <w:style w:type="paragraph" w:customStyle="1" w:styleId="oddl">
    <w:name w:val="oddíl"/>
    <w:basedOn w:val="Normln"/>
    <w:next w:val="Normln"/>
    <w:uiPriority w:val="99"/>
    <w:rsid w:val="002F3D0C"/>
    <w:pPr>
      <w:keepNext/>
      <w:spacing w:before="240"/>
      <w:jc w:val="center"/>
      <w:outlineLvl w:val="3"/>
    </w:pPr>
  </w:style>
  <w:style w:type="paragraph" w:customStyle="1" w:styleId="pododdl">
    <w:name w:val="pododdíl"/>
    <w:basedOn w:val="Normln"/>
    <w:next w:val="Normln"/>
    <w:uiPriority w:val="99"/>
    <w:rsid w:val="002F3D0C"/>
    <w:pPr>
      <w:keepNext/>
      <w:spacing w:before="240"/>
      <w:jc w:val="center"/>
      <w:outlineLvl w:val="4"/>
    </w:pPr>
  </w:style>
  <w:style w:type="paragraph" w:customStyle="1" w:styleId="paragraf">
    <w:name w:val="paragraf"/>
    <w:basedOn w:val="Normln"/>
    <w:next w:val="odstavec"/>
    <w:uiPriority w:val="99"/>
    <w:rsid w:val="000B338E"/>
    <w:pPr>
      <w:keepNext/>
      <w:spacing w:before="240"/>
      <w:jc w:val="center"/>
    </w:pPr>
  </w:style>
  <w:style w:type="paragraph" w:customStyle="1" w:styleId="odstavec">
    <w:name w:val="odstavec"/>
    <w:basedOn w:val="Normln"/>
    <w:rsid w:val="003E70FE"/>
    <w:pPr>
      <w:spacing w:before="120"/>
      <w:ind w:firstLine="482"/>
    </w:pPr>
  </w:style>
  <w:style w:type="paragraph" w:customStyle="1" w:styleId="parlament">
    <w:name w:val="parlament"/>
    <w:basedOn w:val="Normln"/>
    <w:uiPriority w:val="99"/>
    <w:rsid w:val="00C7491D"/>
  </w:style>
  <w:style w:type="paragraph" w:customStyle="1" w:styleId="bod">
    <w:name w:val="bod"/>
    <w:basedOn w:val="slovanseznam2"/>
    <w:uiPriority w:val="99"/>
    <w:rsid w:val="00122AA2"/>
    <w:pPr>
      <w:numPr>
        <w:numId w:val="0"/>
      </w:numPr>
      <w:tabs>
        <w:tab w:val="left" w:pos="357"/>
      </w:tabs>
      <w:spacing w:before="0"/>
      <w:ind w:left="714" w:hanging="357"/>
    </w:pPr>
  </w:style>
  <w:style w:type="paragraph" w:styleId="slovanseznam2">
    <w:name w:val="List Number 2"/>
    <w:aliases w:val="číslovaný seznam 2"/>
    <w:basedOn w:val="odsazentext2"/>
    <w:uiPriority w:val="99"/>
    <w:rsid w:val="008371A2"/>
    <w:pPr>
      <w:numPr>
        <w:numId w:val="6"/>
      </w:numPr>
    </w:pPr>
  </w:style>
  <w:style w:type="paragraph" w:customStyle="1" w:styleId="odsazentext2">
    <w:name w:val="odsazený text 2"/>
    <w:basedOn w:val="Normln"/>
    <w:uiPriority w:val="99"/>
    <w:rsid w:val="007836FA"/>
    <w:pPr>
      <w:spacing w:before="120"/>
      <w:ind w:left="720"/>
    </w:pPr>
  </w:style>
  <w:style w:type="paragraph" w:customStyle="1" w:styleId="psmeno">
    <w:name w:val="písmeno"/>
    <w:basedOn w:val="slovanseznam"/>
    <w:rsid w:val="00122AA2"/>
    <w:pPr>
      <w:numPr>
        <w:numId w:val="0"/>
      </w:numPr>
      <w:tabs>
        <w:tab w:val="left" w:pos="357"/>
      </w:tabs>
      <w:spacing w:before="0"/>
      <w:ind w:left="357" w:hanging="357"/>
    </w:pPr>
  </w:style>
  <w:style w:type="paragraph" w:styleId="slovanseznam">
    <w:name w:val="List Number"/>
    <w:aliases w:val="číslovaný seznam 1"/>
    <w:basedOn w:val="odsazentext1"/>
    <w:uiPriority w:val="99"/>
    <w:rsid w:val="007836FA"/>
    <w:pPr>
      <w:numPr>
        <w:numId w:val="5"/>
      </w:numPr>
      <w:ind w:left="360" w:hanging="360"/>
    </w:pPr>
    <w:rPr>
      <w:lang w:val="en-US"/>
    </w:rPr>
  </w:style>
  <w:style w:type="paragraph" w:customStyle="1" w:styleId="odsazentext1">
    <w:name w:val="odsazený text 1"/>
    <w:basedOn w:val="Normln"/>
    <w:uiPriority w:val="99"/>
    <w:rsid w:val="007836FA"/>
    <w:pPr>
      <w:spacing w:before="120"/>
      <w:ind w:left="360"/>
    </w:pPr>
  </w:style>
  <w:style w:type="paragraph" w:customStyle="1" w:styleId="skupinovnadpis">
    <w:name w:val="skupinový nadpis"/>
    <w:basedOn w:val="Normln"/>
    <w:uiPriority w:val="99"/>
    <w:rsid w:val="000B338E"/>
    <w:pPr>
      <w:keepNext/>
      <w:spacing w:before="240"/>
      <w:jc w:val="center"/>
    </w:pPr>
    <w:rPr>
      <w:b/>
    </w:rPr>
  </w:style>
  <w:style w:type="paragraph" w:customStyle="1" w:styleId="zkon">
    <w:name w:val="zákon"/>
    <w:basedOn w:val="Normln"/>
    <w:rsid w:val="000B338E"/>
    <w:pPr>
      <w:keepNext/>
      <w:spacing w:after="240"/>
      <w:jc w:val="center"/>
    </w:pPr>
    <w:rPr>
      <w:caps/>
    </w:rPr>
  </w:style>
  <w:style w:type="paragraph" w:customStyle="1" w:styleId="varianta">
    <w:name w:val="varianta"/>
    <w:basedOn w:val="Normln"/>
    <w:uiPriority w:val="99"/>
    <w:rsid w:val="00122B4F"/>
    <w:pPr>
      <w:spacing w:before="240"/>
    </w:pPr>
    <w:rPr>
      <w:caps/>
    </w:rPr>
  </w:style>
  <w:style w:type="paragraph" w:customStyle="1" w:styleId="zdvodnn">
    <w:name w:val="zdůvodnění"/>
    <w:basedOn w:val="Normln"/>
    <w:next w:val="text"/>
    <w:uiPriority w:val="99"/>
    <w:rsid w:val="00A95CBA"/>
    <w:pPr>
      <w:keepNext/>
      <w:spacing w:before="240"/>
    </w:pPr>
    <w:rPr>
      <w:b/>
    </w:rPr>
  </w:style>
  <w:style w:type="paragraph" w:customStyle="1" w:styleId="text">
    <w:name w:val="text"/>
    <w:basedOn w:val="Normln"/>
    <w:rsid w:val="004E0B54"/>
    <w:pPr>
      <w:spacing w:before="120"/>
      <w:ind w:firstLine="357"/>
    </w:pPr>
  </w:style>
  <w:style w:type="paragraph" w:customStyle="1" w:styleId="slovanseznam3">
    <w:name w:val="číslovaný seznam 3"/>
    <w:basedOn w:val="odsazentext3"/>
    <w:uiPriority w:val="99"/>
    <w:rsid w:val="004E0B54"/>
    <w:pPr>
      <w:numPr>
        <w:numId w:val="7"/>
      </w:numPr>
      <w:ind w:left="1071" w:hanging="357"/>
    </w:pPr>
  </w:style>
  <w:style w:type="paragraph" w:customStyle="1" w:styleId="odsazentext3">
    <w:name w:val="odsazený text 3"/>
    <w:basedOn w:val="Normln"/>
    <w:link w:val="odsazentext3Char"/>
    <w:uiPriority w:val="99"/>
    <w:rsid w:val="007836FA"/>
    <w:pPr>
      <w:spacing w:before="120"/>
      <w:ind w:left="1066"/>
    </w:pPr>
  </w:style>
  <w:style w:type="character" w:customStyle="1" w:styleId="odsazentext3Char">
    <w:name w:val="odsazený text 3 Char"/>
    <w:link w:val="odsazentext3"/>
    <w:uiPriority w:val="99"/>
    <w:locked/>
    <w:rsid w:val="007836FA"/>
    <w:rPr>
      <w:sz w:val="24"/>
      <w:lang w:val="cs-CZ" w:eastAsia="cs-CZ"/>
    </w:rPr>
  </w:style>
  <w:style w:type="paragraph" w:customStyle="1" w:styleId="slovanseznam4">
    <w:name w:val="číslovaný seznam 4"/>
    <w:basedOn w:val="odsazentext4"/>
    <w:uiPriority w:val="99"/>
    <w:rsid w:val="008371A2"/>
    <w:pPr>
      <w:numPr>
        <w:numId w:val="8"/>
      </w:numPr>
    </w:pPr>
  </w:style>
  <w:style w:type="paragraph" w:customStyle="1" w:styleId="odsazentext4">
    <w:name w:val="odsazený text 4"/>
    <w:basedOn w:val="Normln"/>
    <w:link w:val="odsazentext4CharChar"/>
    <w:uiPriority w:val="99"/>
    <w:rsid w:val="007836FA"/>
    <w:pPr>
      <w:spacing w:before="120"/>
      <w:ind w:left="1426"/>
    </w:pPr>
  </w:style>
  <w:style w:type="character" w:customStyle="1" w:styleId="odsazentext4CharChar">
    <w:name w:val="odsazený text 4 Char Char"/>
    <w:link w:val="odsazentext4"/>
    <w:uiPriority w:val="99"/>
    <w:locked/>
    <w:rsid w:val="007836FA"/>
    <w:rPr>
      <w:sz w:val="24"/>
      <w:lang w:val="cs-CZ" w:eastAsia="cs-CZ"/>
    </w:rPr>
  </w:style>
  <w:style w:type="character" w:customStyle="1" w:styleId="tituleknadpisu">
    <w:name w:val="titulek nadpisu"/>
    <w:uiPriority w:val="99"/>
    <w:rsid w:val="002F3D0C"/>
    <w:rPr>
      <w:b/>
    </w:rPr>
  </w:style>
  <w:style w:type="paragraph" w:customStyle="1" w:styleId="neslovanseznam1">
    <w:name w:val="nečíslovaný seznam 1"/>
    <w:basedOn w:val="slovanseznam"/>
    <w:uiPriority w:val="99"/>
    <w:rsid w:val="00734F5F"/>
    <w:pPr>
      <w:numPr>
        <w:numId w:val="1"/>
      </w:numPr>
    </w:pPr>
  </w:style>
  <w:style w:type="paragraph" w:customStyle="1" w:styleId="neslovanseznam2">
    <w:name w:val="nečíslovaný seznam 2"/>
    <w:basedOn w:val="slovanseznam2"/>
    <w:uiPriority w:val="99"/>
    <w:rsid w:val="00734F5F"/>
    <w:pPr>
      <w:numPr>
        <w:numId w:val="2"/>
      </w:numPr>
    </w:pPr>
    <w:rPr>
      <w:lang w:val="en-US"/>
    </w:rPr>
  </w:style>
  <w:style w:type="paragraph" w:customStyle="1" w:styleId="neslovanseznam3">
    <w:name w:val="nečíslovaný seznam 3"/>
    <w:basedOn w:val="slovanseznam3"/>
    <w:uiPriority w:val="99"/>
    <w:rsid w:val="00734F5F"/>
    <w:pPr>
      <w:numPr>
        <w:numId w:val="3"/>
      </w:numPr>
    </w:pPr>
    <w:rPr>
      <w:lang w:val="en-US"/>
    </w:rPr>
  </w:style>
  <w:style w:type="paragraph" w:customStyle="1" w:styleId="neslovanseznam4">
    <w:name w:val="nečíslovaný seznam 4"/>
    <w:basedOn w:val="slovanseznam4"/>
    <w:uiPriority w:val="99"/>
    <w:rsid w:val="00734F5F"/>
    <w:pPr>
      <w:numPr>
        <w:numId w:val="4"/>
      </w:numPr>
    </w:pPr>
    <w:rPr>
      <w:lang w:val="en-US"/>
    </w:rPr>
  </w:style>
  <w:style w:type="character" w:customStyle="1" w:styleId="poznmkapodarou">
    <w:name w:val="poznámka pod čarou"/>
    <w:uiPriority w:val="99"/>
    <w:rsid w:val="00A0230E"/>
    <w:rPr>
      <w:vertAlign w:val="superscript"/>
    </w:rPr>
  </w:style>
  <w:style w:type="paragraph" w:customStyle="1" w:styleId="novelizanbod0">
    <w:name w:val="novelizační bod"/>
    <w:basedOn w:val="Normln"/>
    <w:uiPriority w:val="99"/>
    <w:rsid w:val="00C00EBF"/>
    <w:pPr>
      <w:tabs>
        <w:tab w:val="left" w:pos="357"/>
      </w:tabs>
      <w:spacing w:before="120"/>
    </w:pPr>
  </w:style>
  <w:style w:type="paragraph" w:customStyle="1" w:styleId="textnovelizanhobodu">
    <w:name w:val="text novelizačního bodu"/>
    <w:basedOn w:val="Normln"/>
    <w:next w:val="novelizanbod0"/>
    <w:uiPriority w:val="99"/>
    <w:rsid w:val="009E0D2F"/>
    <w:pPr>
      <w:spacing w:before="120"/>
      <w:ind w:left="357"/>
    </w:pPr>
  </w:style>
  <w:style w:type="paragraph" w:customStyle="1" w:styleId="odsazentext0">
    <w:name w:val="odsazený text 0"/>
    <w:basedOn w:val="Normln"/>
    <w:next w:val="oddl"/>
    <w:uiPriority w:val="99"/>
    <w:rsid w:val="007836FA"/>
    <w:pPr>
      <w:spacing w:before="120"/>
    </w:pPr>
  </w:style>
  <w:style w:type="paragraph" w:customStyle="1" w:styleId="citacepoznmky">
    <w:name w:val="citace poznámky"/>
    <w:basedOn w:val="Normln"/>
    <w:uiPriority w:val="99"/>
    <w:rsid w:val="00DA3C86"/>
    <w:pPr>
      <w:pBdr>
        <w:top w:val="single" w:sz="4" w:space="4" w:color="auto"/>
      </w:pBdr>
      <w:tabs>
        <w:tab w:val="left" w:pos="357"/>
      </w:tabs>
      <w:spacing w:before="120"/>
    </w:pPr>
    <w:rPr>
      <w:lang w:val="en-US"/>
    </w:rPr>
  </w:style>
  <w:style w:type="paragraph" w:customStyle="1" w:styleId="celex">
    <w:name w:val="celex"/>
    <w:basedOn w:val="Normln"/>
    <w:uiPriority w:val="99"/>
    <w:rsid w:val="00EF37BE"/>
    <w:pPr>
      <w:spacing w:before="120"/>
    </w:pPr>
    <w:rPr>
      <w:i/>
      <w:sz w:val="20"/>
    </w:rPr>
  </w:style>
  <w:style w:type="character" w:customStyle="1" w:styleId="zvraznncelexu">
    <w:name w:val="zvýraznění celexu"/>
    <w:uiPriority w:val="99"/>
    <w:rsid w:val="00B63359"/>
    <w:rPr>
      <w:u w:val="single"/>
    </w:rPr>
  </w:style>
  <w:style w:type="table" w:customStyle="1" w:styleId="57">
    <w:name w:val="57"/>
    <w:uiPriority w:val="99"/>
    <w:pPr>
      <w:widowControl w:val="0"/>
      <w:autoSpaceDE w:val="0"/>
      <w:autoSpaceDN w:val="0"/>
      <w:adjustRightInd w:val="0"/>
    </w:pPr>
    <w:rPr>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ukatabulky">
    <w:name w:val="buňka tabulky"/>
    <w:basedOn w:val="Normln"/>
    <w:uiPriority w:val="99"/>
    <w:rsid w:val="00BA4190"/>
    <w:pPr>
      <w:spacing w:before="120"/>
    </w:pPr>
  </w:style>
  <w:style w:type="table" w:styleId="Mkatabulky">
    <w:name w:val="Table Grid"/>
    <w:basedOn w:val="Normlntabulka"/>
    <w:uiPriority w:val="99"/>
    <w:rsid w:val="0081536E"/>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Zhlav">
    <w:name w:val="header"/>
    <w:basedOn w:val="Normln"/>
    <w:link w:val="ZhlavChar"/>
    <w:rsid w:val="00D25CB9"/>
    <w:pPr>
      <w:tabs>
        <w:tab w:val="center" w:pos="4536"/>
        <w:tab w:val="right" w:pos="9072"/>
      </w:tabs>
    </w:pPr>
  </w:style>
  <w:style w:type="character" w:customStyle="1" w:styleId="ZhlavChar">
    <w:name w:val="Záhlaví Char"/>
    <w:basedOn w:val="Standardnpsmoodstavce"/>
    <w:link w:val="Zhlav"/>
    <w:rsid w:val="00420AF3"/>
    <w:rPr>
      <w:sz w:val="24"/>
      <w:szCs w:val="24"/>
    </w:rPr>
  </w:style>
  <w:style w:type="character" w:styleId="slostrnky">
    <w:name w:val="page number"/>
    <w:basedOn w:val="Standardnpsmoodstavce"/>
    <w:rsid w:val="00D25CB9"/>
    <w:rPr>
      <w:rFonts w:cs="Times New Roman"/>
    </w:rPr>
  </w:style>
  <w:style w:type="paragraph" w:styleId="Textbubliny">
    <w:name w:val="Balloon Text"/>
    <w:basedOn w:val="Normln"/>
    <w:link w:val="TextbublinyChar"/>
    <w:uiPriority w:val="99"/>
    <w:semiHidden/>
    <w:rsid w:val="007B45D7"/>
    <w:rPr>
      <w:rFonts w:ascii="Tahoma" w:hAnsi="Tahoma" w:cs="Tahoma"/>
      <w:sz w:val="16"/>
      <w:szCs w:val="16"/>
    </w:rPr>
  </w:style>
  <w:style w:type="character" w:customStyle="1" w:styleId="TextbublinyChar">
    <w:name w:val="Text bubliny Char"/>
    <w:basedOn w:val="Standardnpsmoodstavce"/>
    <w:link w:val="Textbubliny"/>
    <w:uiPriority w:val="99"/>
    <w:semiHidden/>
    <w:rsid w:val="00420AF3"/>
    <w:rPr>
      <w:sz w:val="0"/>
      <w:szCs w:val="0"/>
    </w:rPr>
  </w:style>
  <w:style w:type="paragraph" w:styleId="Zpat">
    <w:name w:val="footer"/>
    <w:basedOn w:val="Normln"/>
    <w:link w:val="ZpatChar"/>
    <w:rsid w:val="00E326C3"/>
    <w:pPr>
      <w:tabs>
        <w:tab w:val="center" w:pos="4536"/>
        <w:tab w:val="right" w:pos="9072"/>
      </w:tabs>
    </w:pPr>
  </w:style>
  <w:style w:type="character" w:customStyle="1" w:styleId="ZpatChar">
    <w:name w:val="Zápatí Char"/>
    <w:basedOn w:val="Standardnpsmoodstavce"/>
    <w:link w:val="Zpat"/>
    <w:locked/>
    <w:rsid w:val="00E326C3"/>
    <w:rPr>
      <w:sz w:val="24"/>
    </w:rPr>
  </w:style>
  <w:style w:type="paragraph" w:customStyle="1" w:styleId="nadpiszkona">
    <w:name w:val="nadpis zákona"/>
    <w:basedOn w:val="Normln"/>
    <w:next w:val="parlament"/>
    <w:rsid w:val="00A115E5"/>
    <w:pPr>
      <w:keepNext/>
      <w:keepLines/>
      <w:spacing w:before="120"/>
      <w:jc w:val="center"/>
      <w:outlineLvl w:val="0"/>
    </w:pPr>
    <w:rPr>
      <w:b/>
      <w:szCs w:val="20"/>
    </w:rPr>
  </w:style>
  <w:style w:type="paragraph" w:customStyle="1" w:styleId="NADPISSTI">
    <w:name w:val="NADPIS ČÁSTI"/>
    <w:basedOn w:val="Normln"/>
    <w:next w:val="hlava"/>
    <w:link w:val="NADPISSTIChar"/>
    <w:rsid w:val="00A115E5"/>
    <w:pPr>
      <w:keepNext/>
      <w:keepLines/>
      <w:jc w:val="center"/>
      <w:outlineLvl w:val="1"/>
    </w:pPr>
    <w:rPr>
      <w:b/>
      <w:szCs w:val="20"/>
    </w:rPr>
  </w:style>
  <w:style w:type="paragraph" w:customStyle="1" w:styleId="Nadpishlavy">
    <w:name w:val="Nadpis hlavy"/>
    <w:basedOn w:val="Normln"/>
    <w:next w:val="dl"/>
    <w:rsid w:val="00A115E5"/>
    <w:pPr>
      <w:keepNext/>
      <w:keepLines/>
      <w:jc w:val="center"/>
      <w:outlineLvl w:val="2"/>
    </w:pPr>
    <w:rPr>
      <w:b/>
      <w:szCs w:val="20"/>
    </w:rPr>
  </w:style>
  <w:style w:type="paragraph" w:customStyle="1" w:styleId="Nadpisdlu">
    <w:name w:val="Nadpis dílu"/>
    <w:basedOn w:val="Normln"/>
    <w:next w:val="oddl"/>
    <w:rsid w:val="00A115E5"/>
    <w:pPr>
      <w:keepNext/>
      <w:keepLines/>
      <w:jc w:val="center"/>
      <w:outlineLvl w:val="3"/>
    </w:pPr>
    <w:rPr>
      <w:b/>
      <w:szCs w:val="20"/>
    </w:rPr>
  </w:style>
  <w:style w:type="paragraph" w:customStyle="1" w:styleId="Nadpisoddlu">
    <w:name w:val="Nadpis oddílu"/>
    <w:basedOn w:val="Normln"/>
    <w:next w:val="paragraf"/>
    <w:rsid w:val="00A115E5"/>
    <w:pPr>
      <w:keepNext/>
      <w:keepLines/>
      <w:jc w:val="center"/>
      <w:outlineLvl w:val="4"/>
    </w:pPr>
    <w:rPr>
      <w:b/>
      <w:szCs w:val="20"/>
    </w:rPr>
  </w:style>
  <w:style w:type="paragraph" w:customStyle="1" w:styleId="Nadpisparagrafu">
    <w:name w:val="Nadpis paragrafu"/>
    <w:basedOn w:val="paragraf"/>
    <w:next w:val="Normln"/>
    <w:rsid w:val="00A115E5"/>
    <w:pPr>
      <w:keepLines/>
      <w:outlineLvl w:val="5"/>
    </w:pPr>
    <w:rPr>
      <w:b/>
      <w:szCs w:val="20"/>
    </w:rPr>
  </w:style>
  <w:style w:type="paragraph" w:customStyle="1" w:styleId="Parlament0">
    <w:name w:val="Parlament"/>
    <w:basedOn w:val="Normln"/>
    <w:next w:val="st"/>
    <w:rsid w:val="00A115E5"/>
    <w:pPr>
      <w:keepNext/>
      <w:keepLines/>
      <w:spacing w:before="360" w:after="240"/>
    </w:pPr>
    <w:rPr>
      <w:szCs w:val="20"/>
    </w:rPr>
  </w:style>
  <w:style w:type="paragraph" w:customStyle="1" w:styleId="Textbodu">
    <w:name w:val="Text bodu"/>
    <w:basedOn w:val="Normln"/>
    <w:rsid w:val="00A115E5"/>
    <w:pPr>
      <w:numPr>
        <w:ilvl w:val="2"/>
        <w:numId w:val="10"/>
      </w:numPr>
      <w:outlineLvl w:val="8"/>
    </w:pPr>
    <w:rPr>
      <w:szCs w:val="20"/>
    </w:rPr>
  </w:style>
  <w:style w:type="paragraph" w:customStyle="1" w:styleId="Nadpislnku">
    <w:name w:val="Nadpis článku"/>
    <w:basedOn w:val="Normln"/>
    <w:next w:val="Normln"/>
    <w:link w:val="NadpislnkuChar"/>
    <w:rsid w:val="00A115E5"/>
    <w:pPr>
      <w:keepNext/>
      <w:keepLines/>
      <w:spacing w:before="240"/>
      <w:jc w:val="center"/>
      <w:outlineLvl w:val="5"/>
    </w:pPr>
    <w:rPr>
      <w:b/>
      <w:szCs w:val="20"/>
    </w:rPr>
  </w:style>
  <w:style w:type="paragraph" w:customStyle="1" w:styleId="Nvrh">
    <w:name w:val="Návrh"/>
    <w:basedOn w:val="Normln"/>
    <w:next w:val="zkon"/>
    <w:rsid w:val="00A115E5"/>
    <w:pPr>
      <w:keepNext/>
      <w:keepLines/>
      <w:spacing w:after="240"/>
      <w:jc w:val="center"/>
      <w:outlineLvl w:val="0"/>
    </w:pPr>
    <w:rPr>
      <w:spacing w:val="40"/>
      <w:szCs w:val="20"/>
    </w:rPr>
  </w:style>
  <w:style w:type="paragraph" w:customStyle="1" w:styleId="VARIANTA0">
    <w:name w:val="VARIANTA"/>
    <w:basedOn w:val="Normln"/>
    <w:next w:val="Normln"/>
    <w:rsid w:val="00A115E5"/>
    <w:pPr>
      <w:keepNext/>
      <w:spacing w:before="120"/>
    </w:pPr>
    <w:rPr>
      <w:caps/>
      <w:spacing w:val="60"/>
      <w:szCs w:val="20"/>
    </w:rPr>
  </w:style>
  <w:style w:type="paragraph" w:customStyle="1" w:styleId="VARIANTA-konec">
    <w:name w:val="VARIANTA - konec"/>
    <w:basedOn w:val="Normln"/>
    <w:next w:val="Normln"/>
    <w:rsid w:val="00A115E5"/>
    <w:rPr>
      <w:caps/>
      <w:spacing w:val="60"/>
      <w:szCs w:val="20"/>
    </w:rPr>
  </w:style>
  <w:style w:type="paragraph" w:customStyle="1" w:styleId="Textodstavce">
    <w:name w:val="Text odstavce"/>
    <w:basedOn w:val="Normln"/>
    <w:rsid w:val="00A115E5"/>
    <w:pPr>
      <w:numPr>
        <w:numId w:val="10"/>
      </w:numPr>
      <w:tabs>
        <w:tab w:val="left" w:pos="851"/>
      </w:tabs>
      <w:spacing w:before="120"/>
      <w:outlineLvl w:val="6"/>
    </w:pPr>
    <w:rPr>
      <w:szCs w:val="20"/>
    </w:rPr>
  </w:style>
  <w:style w:type="paragraph" w:customStyle="1" w:styleId="Textpsmene">
    <w:name w:val="Text písmene"/>
    <w:basedOn w:val="Normln"/>
    <w:rsid w:val="00A115E5"/>
    <w:pPr>
      <w:outlineLvl w:val="7"/>
    </w:pPr>
    <w:rPr>
      <w:szCs w:val="20"/>
    </w:rPr>
  </w:style>
  <w:style w:type="paragraph" w:customStyle="1" w:styleId="ZKON0">
    <w:name w:val="ZÁKON"/>
    <w:basedOn w:val="Normln"/>
    <w:next w:val="nadpiszkona"/>
    <w:rsid w:val="00A115E5"/>
    <w:pPr>
      <w:keepNext/>
      <w:keepLines/>
      <w:jc w:val="center"/>
      <w:outlineLvl w:val="0"/>
    </w:pPr>
    <w:rPr>
      <w:b/>
      <w:caps/>
      <w:szCs w:val="20"/>
    </w:rPr>
  </w:style>
  <w:style w:type="paragraph" w:customStyle="1" w:styleId="lnek">
    <w:name w:val="Článek"/>
    <w:basedOn w:val="Normln"/>
    <w:next w:val="Textodstavce"/>
    <w:link w:val="lnekChar"/>
    <w:rsid w:val="00A115E5"/>
    <w:pPr>
      <w:keepNext/>
      <w:keepLines/>
      <w:spacing w:before="240"/>
      <w:jc w:val="center"/>
      <w:outlineLvl w:val="5"/>
    </w:pPr>
    <w:rPr>
      <w:szCs w:val="20"/>
    </w:rPr>
  </w:style>
  <w:style w:type="paragraph" w:customStyle="1" w:styleId="Novelizanbod">
    <w:name w:val="Novelizační bod"/>
    <w:basedOn w:val="Normln"/>
    <w:next w:val="Normln"/>
    <w:link w:val="NovelizanbodChar"/>
    <w:rsid w:val="00A115E5"/>
    <w:pPr>
      <w:keepNext/>
      <w:keepLines/>
      <w:numPr>
        <w:numId w:val="11"/>
      </w:numPr>
      <w:tabs>
        <w:tab w:val="left" w:pos="851"/>
      </w:tabs>
      <w:spacing w:before="480"/>
    </w:pPr>
    <w:rPr>
      <w:szCs w:val="20"/>
    </w:rPr>
  </w:style>
  <w:style w:type="paragraph" w:customStyle="1" w:styleId="Nadpispozmn">
    <w:name w:val="Nadpis pozm.n."/>
    <w:basedOn w:val="Normln"/>
    <w:next w:val="Normln"/>
    <w:rsid w:val="00A115E5"/>
    <w:pPr>
      <w:keepNext/>
      <w:keepLines/>
      <w:jc w:val="center"/>
    </w:pPr>
    <w:rPr>
      <w:b/>
      <w:sz w:val="32"/>
      <w:szCs w:val="20"/>
    </w:rPr>
  </w:style>
  <w:style w:type="paragraph" w:customStyle="1" w:styleId="Novelizanbodvpozmn">
    <w:name w:val="Novelizační bod v pozm.n."/>
    <w:basedOn w:val="Normln"/>
    <w:next w:val="Normln"/>
    <w:rsid w:val="00A115E5"/>
    <w:pPr>
      <w:keepNext/>
      <w:keepLines/>
      <w:numPr>
        <w:numId w:val="12"/>
      </w:numPr>
      <w:tabs>
        <w:tab w:val="left" w:pos="1418"/>
      </w:tabs>
      <w:spacing w:before="240"/>
    </w:pPr>
    <w:rPr>
      <w:szCs w:val="20"/>
    </w:rPr>
  </w:style>
  <w:style w:type="paragraph" w:customStyle="1" w:styleId="Psmeno0">
    <w:name w:val="&quot;Písmeno&quot;"/>
    <w:basedOn w:val="Normln"/>
    <w:next w:val="Normln"/>
    <w:rsid w:val="00A115E5"/>
    <w:pPr>
      <w:keepNext/>
      <w:keepLines/>
      <w:ind w:left="425" w:hanging="425"/>
    </w:pPr>
    <w:rPr>
      <w:szCs w:val="20"/>
    </w:rPr>
  </w:style>
  <w:style w:type="paragraph" w:customStyle="1" w:styleId="Textpozmn">
    <w:name w:val="Text pozm.n."/>
    <w:basedOn w:val="Normln"/>
    <w:next w:val="Normln"/>
    <w:rsid w:val="00A115E5"/>
    <w:pPr>
      <w:numPr>
        <w:numId w:val="13"/>
      </w:numPr>
      <w:tabs>
        <w:tab w:val="left" w:pos="851"/>
      </w:tabs>
    </w:pPr>
    <w:rPr>
      <w:szCs w:val="20"/>
    </w:rPr>
  </w:style>
  <w:style w:type="paragraph" w:customStyle="1" w:styleId="Oznaenpozmn">
    <w:name w:val="Označení pozm.n."/>
    <w:basedOn w:val="Normln"/>
    <w:next w:val="Normln"/>
    <w:rsid w:val="00A115E5"/>
    <w:pPr>
      <w:numPr>
        <w:numId w:val="14"/>
      </w:numPr>
    </w:pPr>
    <w:rPr>
      <w:b/>
      <w:szCs w:val="20"/>
    </w:rPr>
  </w:style>
  <w:style w:type="paragraph" w:customStyle="1" w:styleId="CELEX0">
    <w:name w:val="CELEX"/>
    <w:basedOn w:val="Normln"/>
    <w:next w:val="Normln"/>
    <w:rsid w:val="00A115E5"/>
    <w:pPr>
      <w:spacing w:before="60"/>
    </w:pPr>
    <w:rPr>
      <w:i/>
      <w:sz w:val="20"/>
      <w:szCs w:val="20"/>
    </w:rPr>
  </w:style>
  <w:style w:type="paragraph" w:customStyle="1" w:styleId="ST0">
    <w:name w:val="ČÁST"/>
    <w:basedOn w:val="Normln"/>
    <w:next w:val="NADPISSTI"/>
    <w:rsid w:val="00A115E5"/>
    <w:pPr>
      <w:keepNext/>
      <w:keepLines/>
      <w:spacing w:before="240"/>
      <w:jc w:val="center"/>
      <w:outlineLvl w:val="1"/>
    </w:pPr>
    <w:rPr>
      <w:caps/>
      <w:szCs w:val="20"/>
    </w:rPr>
  </w:style>
  <w:style w:type="paragraph" w:customStyle="1" w:styleId="Hlava0">
    <w:name w:val="Hlava"/>
    <w:basedOn w:val="Normln"/>
    <w:next w:val="Nadpishlavy"/>
    <w:rsid w:val="00A115E5"/>
    <w:pPr>
      <w:keepNext/>
      <w:keepLines/>
      <w:spacing w:before="240"/>
      <w:jc w:val="center"/>
      <w:outlineLvl w:val="2"/>
    </w:pPr>
    <w:rPr>
      <w:szCs w:val="20"/>
    </w:rPr>
  </w:style>
  <w:style w:type="paragraph" w:customStyle="1" w:styleId="Dl0">
    <w:name w:val="Díl"/>
    <w:basedOn w:val="Normln"/>
    <w:next w:val="Nadpisdlu"/>
    <w:rsid w:val="00A115E5"/>
    <w:pPr>
      <w:keepNext/>
      <w:keepLines/>
      <w:spacing w:before="240"/>
      <w:jc w:val="center"/>
      <w:outlineLvl w:val="3"/>
    </w:pPr>
    <w:rPr>
      <w:szCs w:val="20"/>
    </w:rPr>
  </w:style>
  <w:style w:type="paragraph" w:customStyle="1" w:styleId="Oddl0">
    <w:name w:val="Oddíl"/>
    <w:basedOn w:val="Normln"/>
    <w:next w:val="Nadpisoddlu"/>
    <w:rsid w:val="00A115E5"/>
    <w:pPr>
      <w:keepNext/>
      <w:keepLines/>
      <w:spacing w:before="240"/>
      <w:jc w:val="center"/>
      <w:outlineLvl w:val="4"/>
    </w:pPr>
    <w:rPr>
      <w:szCs w:val="20"/>
    </w:rPr>
  </w:style>
  <w:style w:type="paragraph" w:customStyle="1" w:styleId="Paragraf0">
    <w:name w:val="Paragraf"/>
    <w:basedOn w:val="Normln"/>
    <w:next w:val="Textodstavce"/>
    <w:rsid w:val="00A115E5"/>
    <w:pPr>
      <w:keepNext/>
      <w:keepLines/>
      <w:spacing w:before="240"/>
      <w:jc w:val="center"/>
      <w:outlineLvl w:val="5"/>
    </w:pPr>
    <w:rPr>
      <w:szCs w:val="20"/>
    </w:rPr>
  </w:style>
  <w:style w:type="paragraph" w:customStyle="1" w:styleId="Podpis">
    <w:name w:val="Podpis_"/>
    <w:basedOn w:val="Normln"/>
    <w:next w:val="Normln"/>
    <w:rsid w:val="00A115E5"/>
    <w:pPr>
      <w:keepNext/>
      <w:keepLines/>
      <w:spacing w:before="720"/>
      <w:jc w:val="center"/>
    </w:pPr>
    <w:rPr>
      <w:szCs w:val="20"/>
    </w:rPr>
  </w:style>
  <w:style w:type="paragraph" w:customStyle="1" w:styleId="funkce">
    <w:name w:val="funkce"/>
    <w:basedOn w:val="Normln"/>
    <w:rsid w:val="00A115E5"/>
    <w:pPr>
      <w:keepLines/>
      <w:jc w:val="center"/>
    </w:pPr>
    <w:rPr>
      <w:szCs w:val="20"/>
    </w:rPr>
  </w:style>
  <w:style w:type="character" w:customStyle="1" w:styleId="Odkaznapoznpodarou">
    <w:name w:val="Odkaz na pozn. pod čarou"/>
    <w:rsid w:val="00A115E5"/>
    <w:rPr>
      <w:vertAlign w:val="superscript"/>
    </w:rPr>
  </w:style>
  <w:style w:type="paragraph" w:customStyle="1" w:styleId="Textbodunovely">
    <w:name w:val="Text bodu novely"/>
    <w:basedOn w:val="Normln"/>
    <w:next w:val="Normln"/>
    <w:rsid w:val="00A115E5"/>
    <w:pPr>
      <w:ind w:left="567" w:hanging="567"/>
    </w:pPr>
    <w:rPr>
      <w:szCs w:val="20"/>
    </w:rPr>
  </w:style>
  <w:style w:type="paragraph" w:customStyle="1" w:styleId="Popisky">
    <w:name w:val="Popisky"/>
    <w:uiPriority w:val="99"/>
    <w:rsid w:val="00156BE6"/>
    <w:rPr>
      <w:rFonts w:ascii="Arial" w:hAnsi="Arial"/>
      <w:sz w:val="20"/>
      <w:szCs w:val="20"/>
    </w:rPr>
  </w:style>
  <w:style w:type="paragraph" w:styleId="Textpoznpodarou">
    <w:name w:val="footnote text"/>
    <w:aliases w:val="Footnote Text Char1,Footnote Text Char Char,Footnote Text Char2 Char Char,Footnote Text Char1 Char Char Char,Footnote Text Char Char Char Char Char,Footnote Text Char2 Char Char Char Char Char,Footnote Text Char"/>
    <w:basedOn w:val="Normln"/>
    <w:link w:val="TextpoznpodarouChar"/>
    <w:rsid w:val="00AF18E7"/>
    <w:rPr>
      <w:sz w:val="20"/>
      <w:szCs w:val="20"/>
    </w:rPr>
  </w:style>
  <w:style w:type="character" w:customStyle="1" w:styleId="TextpoznpodarouChar">
    <w:name w:val="Text pozn. pod čarou Char"/>
    <w:aliases w:val="Footnote Text Char1 Char,Footnote Text Char Char Char,Footnote Text Char2 Char Char Char,Footnote Text Char1 Char Char Char Char,Footnote Text Char Char Char Char Char Char,Footnote Text Char2 Char Char Char Char Char Char"/>
    <w:basedOn w:val="Standardnpsmoodstavce"/>
    <w:link w:val="Textpoznpodarou"/>
    <w:locked/>
    <w:rsid w:val="00AF18E7"/>
    <w:rPr>
      <w:rFonts w:cs="Times New Roman"/>
    </w:rPr>
  </w:style>
  <w:style w:type="character" w:styleId="Znakapoznpodarou">
    <w:name w:val="footnote reference"/>
    <w:basedOn w:val="Standardnpsmoodstavce"/>
    <w:rsid w:val="00AF18E7"/>
    <w:rPr>
      <w:rFonts w:cs="Times New Roman"/>
      <w:vertAlign w:val="superscript"/>
    </w:rPr>
  </w:style>
  <w:style w:type="character" w:styleId="Hypertextovodkaz">
    <w:name w:val="Hyperlink"/>
    <w:basedOn w:val="Standardnpsmoodstavce"/>
    <w:uiPriority w:val="99"/>
    <w:rsid w:val="00AF18E7"/>
    <w:rPr>
      <w:rFonts w:cs="Times New Roman"/>
      <w:color w:val="0000FF"/>
      <w:u w:val="single"/>
    </w:rPr>
  </w:style>
  <w:style w:type="character" w:styleId="Sledovanodkaz">
    <w:name w:val="FollowedHyperlink"/>
    <w:basedOn w:val="Standardnpsmoodstavce"/>
    <w:uiPriority w:val="99"/>
    <w:rsid w:val="00AF18E7"/>
    <w:rPr>
      <w:rFonts w:cs="Times New Roman"/>
      <w:color w:val="800080"/>
      <w:u w:val="single"/>
    </w:rPr>
  </w:style>
  <w:style w:type="paragraph" w:customStyle="1" w:styleId="Dslovnpsmenatun">
    <w:name w:val="D Číslování písmena + tučné"/>
    <w:basedOn w:val="Normln"/>
    <w:uiPriority w:val="99"/>
    <w:rsid w:val="00CC7CC8"/>
    <w:pPr>
      <w:numPr>
        <w:numId w:val="15"/>
      </w:numPr>
      <w:tabs>
        <w:tab w:val="clear" w:pos="1743"/>
      </w:tabs>
      <w:spacing w:before="120"/>
      <w:ind w:left="720" w:hanging="360"/>
    </w:pPr>
    <w:rPr>
      <w:b/>
    </w:rPr>
  </w:style>
  <w:style w:type="paragraph" w:customStyle="1" w:styleId="Dslovnmsksla">
    <w:name w:val="D Číslování římská čísla"/>
    <w:basedOn w:val="Normln"/>
    <w:uiPriority w:val="99"/>
    <w:rsid w:val="00CC7CC8"/>
    <w:pPr>
      <w:numPr>
        <w:numId w:val="16"/>
      </w:numPr>
      <w:spacing w:before="120"/>
      <w:ind w:left="1134" w:hanging="283"/>
    </w:pPr>
  </w:style>
  <w:style w:type="paragraph" w:customStyle="1" w:styleId="DTlotextu2">
    <w:name w:val="D Tělo textu 2"/>
    <w:basedOn w:val="Normln"/>
    <w:uiPriority w:val="99"/>
    <w:rsid w:val="00CC7CC8"/>
    <w:pPr>
      <w:spacing w:before="120"/>
      <w:ind w:left="567"/>
    </w:pPr>
  </w:style>
  <w:style w:type="paragraph" w:customStyle="1" w:styleId="DTlotextu1">
    <w:name w:val="D Tělo textu 1"/>
    <w:basedOn w:val="Normln"/>
    <w:qFormat/>
    <w:rsid w:val="00CC7CC8"/>
    <w:pPr>
      <w:spacing w:before="120"/>
    </w:pPr>
  </w:style>
  <w:style w:type="character" w:styleId="Odkaznakoment">
    <w:name w:val="annotation reference"/>
    <w:basedOn w:val="Standardnpsmoodstavce"/>
    <w:uiPriority w:val="99"/>
    <w:rsid w:val="000A527E"/>
    <w:rPr>
      <w:rFonts w:cs="Times New Roman"/>
      <w:sz w:val="16"/>
    </w:rPr>
  </w:style>
  <w:style w:type="paragraph" w:styleId="Textkomente">
    <w:name w:val="annotation text"/>
    <w:basedOn w:val="Normln"/>
    <w:link w:val="TextkomenteChar"/>
    <w:uiPriority w:val="99"/>
    <w:rsid w:val="000A527E"/>
    <w:rPr>
      <w:sz w:val="20"/>
      <w:szCs w:val="20"/>
    </w:rPr>
  </w:style>
  <w:style w:type="character" w:customStyle="1" w:styleId="TextkomenteChar">
    <w:name w:val="Text komentáře Char"/>
    <w:basedOn w:val="Standardnpsmoodstavce"/>
    <w:link w:val="Textkomente"/>
    <w:uiPriority w:val="99"/>
    <w:locked/>
    <w:rsid w:val="000A527E"/>
    <w:rPr>
      <w:rFonts w:cs="Times New Roman"/>
    </w:rPr>
  </w:style>
  <w:style w:type="paragraph" w:styleId="Pedmtkomente">
    <w:name w:val="annotation subject"/>
    <w:basedOn w:val="Textkomente"/>
    <w:next w:val="Textkomente"/>
    <w:link w:val="PedmtkomenteChar"/>
    <w:uiPriority w:val="99"/>
    <w:rsid w:val="000A527E"/>
    <w:rPr>
      <w:b/>
      <w:bCs/>
    </w:rPr>
  </w:style>
  <w:style w:type="character" w:customStyle="1" w:styleId="PedmtkomenteChar">
    <w:name w:val="Předmět komentáře Char"/>
    <w:basedOn w:val="TextkomenteChar"/>
    <w:link w:val="Pedmtkomente"/>
    <w:uiPriority w:val="99"/>
    <w:locked/>
    <w:rsid w:val="000A527E"/>
    <w:rPr>
      <w:rFonts w:cs="Times New Roman"/>
      <w:b/>
    </w:rPr>
  </w:style>
  <w:style w:type="paragraph" w:styleId="Revize">
    <w:name w:val="Revision"/>
    <w:hidden/>
    <w:uiPriority w:val="99"/>
    <w:semiHidden/>
    <w:rsid w:val="00D63459"/>
    <w:rPr>
      <w:sz w:val="24"/>
      <w:szCs w:val="24"/>
    </w:rPr>
  </w:style>
  <w:style w:type="paragraph" w:styleId="Odstavecseseznamem">
    <w:name w:val="List Paragraph"/>
    <w:basedOn w:val="Normln"/>
    <w:link w:val="OdstavecseseznamemChar"/>
    <w:uiPriority w:val="34"/>
    <w:qFormat/>
    <w:rsid w:val="00B47742"/>
    <w:pPr>
      <w:ind w:left="720"/>
    </w:pPr>
    <w:rPr>
      <w:rFonts w:ascii="Calibri" w:hAnsi="Calibri" w:cs="Calibri"/>
      <w:sz w:val="22"/>
      <w:szCs w:val="22"/>
      <w:lang w:eastAsia="en-US"/>
    </w:rPr>
  </w:style>
  <w:style w:type="character" w:customStyle="1" w:styleId="OdstavecseseznamemChar">
    <w:name w:val="Odstavec se seznamem Char"/>
    <w:link w:val="Odstavecseseznamem"/>
    <w:uiPriority w:val="34"/>
    <w:locked/>
    <w:rsid w:val="006D6F41"/>
    <w:rPr>
      <w:rFonts w:ascii="Calibri" w:hAnsi="Calibri" w:cs="Calibri"/>
      <w:lang w:eastAsia="en-US"/>
    </w:rPr>
  </w:style>
  <w:style w:type="paragraph" w:customStyle="1" w:styleId="Normln2">
    <w:name w:val="Normální 2"/>
    <w:basedOn w:val="Normln"/>
    <w:link w:val="Normln2Char"/>
    <w:uiPriority w:val="99"/>
    <w:rsid w:val="002E5601"/>
    <w:rPr>
      <w:noProof/>
      <w:szCs w:val="20"/>
    </w:rPr>
  </w:style>
  <w:style w:type="character" w:customStyle="1" w:styleId="Normln2Char">
    <w:name w:val="Normální 2 Char"/>
    <w:basedOn w:val="Standardnpsmoodstavce"/>
    <w:link w:val="Normln2"/>
    <w:uiPriority w:val="99"/>
    <w:locked/>
    <w:rsid w:val="002E5601"/>
    <w:rPr>
      <w:noProof/>
      <w:sz w:val="24"/>
      <w:szCs w:val="20"/>
    </w:rPr>
  </w:style>
  <w:style w:type="paragraph" w:customStyle="1" w:styleId="za1">
    <w:name w:val="za 1."/>
    <w:basedOn w:val="Normln"/>
    <w:uiPriority w:val="99"/>
    <w:rsid w:val="00F365D3"/>
    <w:pPr>
      <w:numPr>
        <w:numId w:val="20"/>
      </w:numPr>
    </w:pPr>
    <w:rPr>
      <w:szCs w:val="20"/>
      <w:lang w:eastAsia="en-GB"/>
    </w:rPr>
  </w:style>
  <w:style w:type="paragraph" w:customStyle="1" w:styleId="RIA1">
    <w:name w:val="RIA1"/>
    <w:basedOn w:val="Nadpis2"/>
    <w:link w:val="RIA1Char"/>
    <w:uiPriority w:val="99"/>
    <w:rsid w:val="000B6EB8"/>
    <w:pPr>
      <w:numPr>
        <w:ilvl w:val="0"/>
        <w:numId w:val="0"/>
      </w:numPr>
      <w:shd w:val="clear" w:color="auto" w:fill="FFFFFF"/>
      <w:spacing w:before="120" w:after="0"/>
      <w:jc w:val="both"/>
    </w:pPr>
    <w:rPr>
      <w:noProof/>
      <w:sz w:val="26"/>
      <w:szCs w:val="26"/>
    </w:rPr>
  </w:style>
  <w:style w:type="character" w:customStyle="1" w:styleId="RIA1Char">
    <w:name w:val="RIA1 Char"/>
    <w:basedOn w:val="Nadpis2Char"/>
    <w:link w:val="RIA1"/>
    <w:uiPriority w:val="99"/>
    <w:locked/>
    <w:rsid w:val="000B6EB8"/>
    <w:rPr>
      <w:rFonts w:cs="Arial"/>
      <w:b/>
      <w:bCs/>
      <w:iCs/>
      <w:noProof/>
      <w:sz w:val="26"/>
      <w:szCs w:val="26"/>
      <w:shd w:val="clear" w:color="auto" w:fill="FFFFFF"/>
    </w:rPr>
  </w:style>
  <w:style w:type="paragraph" w:customStyle="1" w:styleId="Dvodovzprva">
    <w:name w:val="Důvodová zpráva"/>
    <w:basedOn w:val="nadpiszkona"/>
    <w:link w:val="DvodovzprvaChar"/>
    <w:rsid w:val="0051222D"/>
    <w:pPr>
      <w:keepLines w:val="0"/>
      <w:spacing w:after="0"/>
      <w:jc w:val="both"/>
    </w:pPr>
    <w:rPr>
      <w:rFonts w:ascii="Arial" w:hAnsi="Arial"/>
      <w:b w:val="0"/>
      <w:color w:val="0000FF"/>
    </w:rPr>
  </w:style>
  <w:style w:type="character" w:customStyle="1" w:styleId="DvodovzprvaChar">
    <w:name w:val="Důvodová zpráva Char"/>
    <w:link w:val="Dvodovzprva"/>
    <w:rsid w:val="0051222D"/>
    <w:rPr>
      <w:rFonts w:ascii="Arial" w:hAnsi="Arial"/>
      <w:color w:val="0000FF"/>
      <w:sz w:val="24"/>
      <w:szCs w:val="20"/>
    </w:rPr>
  </w:style>
  <w:style w:type="paragraph" w:styleId="Zkladntextodsazen">
    <w:name w:val="Body Text Indent"/>
    <w:basedOn w:val="Normln"/>
    <w:link w:val="ZkladntextodsazenChar"/>
    <w:semiHidden/>
    <w:rsid w:val="005E1A24"/>
    <w:pPr>
      <w:spacing w:after="0"/>
      <w:ind w:left="4320" w:hanging="4320"/>
      <w:jc w:val="left"/>
    </w:pPr>
  </w:style>
  <w:style w:type="character" w:customStyle="1" w:styleId="ZkladntextodsazenChar">
    <w:name w:val="Základní text odsazený Char"/>
    <w:basedOn w:val="Standardnpsmoodstavce"/>
    <w:link w:val="Zkladntextodsazen"/>
    <w:semiHidden/>
    <w:rsid w:val="005E1A24"/>
    <w:rPr>
      <w:sz w:val="24"/>
      <w:szCs w:val="24"/>
    </w:rPr>
  </w:style>
  <w:style w:type="paragraph" w:customStyle="1" w:styleId="Textparagrafu">
    <w:name w:val="Text paragrafu"/>
    <w:basedOn w:val="Normln"/>
    <w:rsid w:val="00B85A1E"/>
    <w:pPr>
      <w:spacing w:before="240" w:after="0"/>
      <w:ind w:firstLine="425"/>
      <w:outlineLvl w:val="5"/>
    </w:pPr>
    <w:rPr>
      <w:szCs w:val="20"/>
    </w:rPr>
  </w:style>
  <w:style w:type="paragraph" w:customStyle="1" w:styleId="Textlnku">
    <w:name w:val="Text článku"/>
    <w:basedOn w:val="Normln"/>
    <w:link w:val="TextlnkuChar"/>
    <w:rsid w:val="00B85A1E"/>
    <w:pPr>
      <w:spacing w:before="240" w:after="0"/>
      <w:ind w:firstLine="425"/>
      <w:outlineLvl w:val="5"/>
    </w:pPr>
    <w:rPr>
      <w:szCs w:val="20"/>
    </w:rPr>
  </w:style>
  <w:style w:type="character" w:customStyle="1" w:styleId="TextlnkuChar">
    <w:name w:val="Text článku Char"/>
    <w:link w:val="Textlnku"/>
    <w:rsid w:val="00B85A1E"/>
    <w:rPr>
      <w:sz w:val="24"/>
      <w:szCs w:val="20"/>
    </w:rPr>
  </w:style>
  <w:style w:type="paragraph" w:styleId="Titulek">
    <w:name w:val="caption"/>
    <w:basedOn w:val="Normln"/>
    <w:next w:val="Normln"/>
    <w:qFormat/>
    <w:locked/>
    <w:rsid w:val="00B85A1E"/>
    <w:pPr>
      <w:spacing w:before="120"/>
    </w:pPr>
    <w:rPr>
      <w:b/>
      <w:szCs w:val="20"/>
    </w:rPr>
  </w:style>
  <w:style w:type="character" w:customStyle="1" w:styleId="NovelizanbodChar">
    <w:name w:val="Novelizační bod Char"/>
    <w:link w:val="Novelizanbod"/>
    <w:rsid w:val="00B85A1E"/>
    <w:rPr>
      <w:sz w:val="24"/>
      <w:szCs w:val="20"/>
    </w:rPr>
  </w:style>
  <w:style w:type="character" w:customStyle="1" w:styleId="NADPISSTIChar">
    <w:name w:val="NADPIS ČÁSTI Char"/>
    <w:link w:val="NADPISSTI"/>
    <w:rsid w:val="00B85A1E"/>
    <w:rPr>
      <w:b/>
      <w:sz w:val="24"/>
      <w:szCs w:val="20"/>
    </w:rPr>
  </w:style>
  <w:style w:type="character" w:customStyle="1" w:styleId="lnekChar">
    <w:name w:val="Článek Char"/>
    <w:link w:val="lnek"/>
    <w:rsid w:val="00B85A1E"/>
    <w:rPr>
      <w:sz w:val="24"/>
      <w:szCs w:val="20"/>
    </w:rPr>
  </w:style>
  <w:style w:type="character" w:customStyle="1" w:styleId="NadpislnkuChar">
    <w:name w:val="Nadpis článku Char"/>
    <w:link w:val="Nadpislnku"/>
    <w:rsid w:val="00B85A1E"/>
    <w:rPr>
      <w:b/>
      <w:sz w:val="24"/>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cs-CZ" w:eastAsia="cs-CZ"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semiHidden="0" w:uiPriority="9" w:unhideWhenUsed="0" w:qFormat="1"/>
    <w:lsdException w:name="heading 3" w:locked="1" w:semiHidden="0" w:unhideWhenUsed="0" w:qFormat="1"/>
    <w:lsdException w:name="heading 4" w:locked="1" w:semiHidden="0" w:unhideWhenUsed="0" w:qFormat="1"/>
    <w:lsdException w:name="heading 5" w:locked="1" w:semiHidden="0" w:uiPriority="9" w:unhideWhenUsed="0" w:qFormat="1"/>
    <w:lsdException w:name="heading 6" w:locked="1" w:semiHidden="0" w:uiPriority="9" w:unhideWhenUsed="0" w:qFormat="1"/>
    <w:lsdException w:name="heading 7" w:locked="1" w:semiHidden="0" w:uiPriority="9" w:unhideWhenUsed="0" w:qFormat="1"/>
    <w:lsdException w:name="heading 8" w:locked="1" w:semiHidden="0" w:uiPriority="9" w:unhideWhenUsed="0" w:qFormat="1"/>
    <w:lsdException w:name="heading 9" w:locked="1"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locked="1" w:semiHidden="0" w:uiPriority="0" w:unhideWhenUsed="0"/>
    <w:lsdException w:name="caption" w:locked="1" w:uiPriority="0" w:qFormat="1"/>
    <w:lsdException w:name="footnote reference" w:uiPriority="0"/>
    <w:lsdException w:name="page number" w:uiPriority="0"/>
    <w:lsdException w:name="Title" w:locked="1" w:semiHidden="0" w:uiPriority="0" w:unhideWhenUsed="0" w:qFormat="1"/>
    <w:lsdException w:name="Default Paragraph Font" w:locked="1" w:semiHidden="0" w:uiPriority="0" w:unhideWhenUsed="0"/>
    <w:lsdException w:name="Body Text Indent" w:uiPriority="0"/>
    <w:lsdException w:name="Subtitle" w:locked="1" w:semiHidden="0" w:uiPriority="0" w:unhideWhenUsed="0" w:qFormat="1"/>
    <w:lsdException w:name="Hyperlink" w:locked="1" w:semiHidden="0" w:unhideWhenUsed="0"/>
    <w:lsdException w:name="Strong" w:locked="1" w:semiHidden="0" w:uiPriority="0" w:unhideWhenUsed="0" w:qFormat="1"/>
    <w:lsdException w:name="Emphasis" w:locked="1" w:semiHidden="0" w:uiPriority="0" w:unhideWhenUsed="0" w:qFormat="1"/>
    <w:lsdException w:name="No List" w:locked="1" w:semiHidden="0" w:unhideWhenUsed="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aliases w:val="normální"/>
    <w:qFormat/>
    <w:rsid w:val="00344B76"/>
    <w:pPr>
      <w:spacing w:after="120"/>
      <w:jc w:val="both"/>
    </w:pPr>
    <w:rPr>
      <w:sz w:val="24"/>
      <w:szCs w:val="24"/>
    </w:rPr>
  </w:style>
  <w:style w:type="paragraph" w:styleId="Nadpis1">
    <w:name w:val="heading 1"/>
    <w:aliases w:val="nadpis 1"/>
    <w:basedOn w:val="Normln"/>
    <w:next w:val="Normln"/>
    <w:link w:val="Nadpis1Char"/>
    <w:uiPriority w:val="9"/>
    <w:qFormat/>
    <w:rsid w:val="00AC1588"/>
    <w:pPr>
      <w:keepNext/>
      <w:numPr>
        <w:numId w:val="18"/>
      </w:numPr>
      <w:spacing w:before="240"/>
      <w:ind w:left="360"/>
      <w:jc w:val="center"/>
      <w:outlineLvl w:val="0"/>
    </w:pPr>
    <w:rPr>
      <w:rFonts w:cs="Arial"/>
      <w:b/>
      <w:bCs/>
      <w:kern w:val="32"/>
      <w:sz w:val="32"/>
      <w:szCs w:val="32"/>
    </w:rPr>
  </w:style>
  <w:style w:type="paragraph" w:styleId="Nadpis2">
    <w:name w:val="heading 2"/>
    <w:aliases w:val="nadpis 2"/>
    <w:basedOn w:val="Normln"/>
    <w:next w:val="Normln"/>
    <w:link w:val="Nadpis2Char"/>
    <w:uiPriority w:val="9"/>
    <w:qFormat/>
    <w:rsid w:val="00AC1588"/>
    <w:pPr>
      <w:keepNext/>
      <w:numPr>
        <w:ilvl w:val="1"/>
        <w:numId w:val="18"/>
      </w:numPr>
      <w:spacing w:before="240"/>
      <w:jc w:val="center"/>
      <w:outlineLvl w:val="1"/>
    </w:pPr>
    <w:rPr>
      <w:rFonts w:cs="Arial"/>
      <w:b/>
      <w:bCs/>
      <w:iCs/>
      <w:sz w:val="28"/>
      <w:szCs w:val="28"/>
    </w:rPr>
  </w:style>
  <w:style w:type="paragraph" w:styleId="Nadpis3">
    <w:name w:val="heading 3"/>
    <w:aliases w:val="nadpis 3"/>
    <w:basedOn w:val="Normln"/>
    <w:next w:val="Normln"/>
    <w:link w:val="Nadpis3Char"/>
    <w:uiPriority w:val="99"/>
    <w:qFormat/>
    <w:rsid w:val="00DA7729"/>
    <w:pPr>
      <w:keepNext/>
      <w:spacing w:before="240" w:after="60"/>
      <w:outlineLvl w:val="2"/>
    </w:pPr>
    <w:rPr>
      <w:rFonts w:cs="Arial"/>
      <w:b/>
      <w:bCs/>
      <w:szCs w:val="26"/>
    </w:rPr>
  </w:style>
  <w:style w:type="paragraph" w:styleId="Nadpis4">
    <w:name w:val="heading 4"/>
    <w:aliases w:val="nadpis 4"/>
    <w:basedOn w:val="Normln"/>
    <w:next w:val="Normln"/>
    <w:link w:val="Nadpis4Char"/>
    <w:uiPriority w:val="99"/>
    <w:qFormat/>
    <w:rsid w:val="00055BA5"/>
    <w:pPr>
      <w:keepNext/>
      <w:spacing w:before="240" w:after="60"/>
      <w:outlineLvl w:val="3"/>
    </w:pPr>
    <w:rPr>
      <w:b/>
      <w:bCs/>
      <w:szCs w:val="28"/>
    </w:rPr>
  </w:style>
  <w:style w:type="paragraph" w:styleId="Nadpis5">
    <w:name w:val="heading 5"/>
    <w:aliases w:val="nadpis 5"/>
    <w:basedOn w:val="Normln"/>
    <w:next w:val="Normln"/>
    <w:link w:val="Nadpis5Char"/>
    <w:uiPriority w:val="9"/>
    <w:qFormat/>
    <w:rsid w:val="002A56F5"/>
    <w:pPr>
      <w:keepNext/>
      <w:numPr>
        <w:ilvl w:val="4"/>
        <w:numId w:val="18"/>
      </w:numPr>
      <w:spacing w:before="240" w:after="60"/>
      <w:ind w:left="1008" w:hanging="1008"/>
      <w:outlineLvl w:val="4"/>
    </w:pPr>
    <w:rPr>
      <w:b/>
      <w:bCs/>
      <w:iCs/>
      <w:szCs w:val="26"/>
    </w:rPr>
  </w:style>
  <w:style w:type="paragraph" w:styleId="Nadpis6">
    <w:name w:val="heading 6"/>
    <w:basedOn w:val="Normln"/>
    <w:next w:val="Normln"/>
    <w:link w:val="Nadpis6Char"/>
    <w:uiPriority w:val="9"/>
    <w:qFormat/>
    <w:rsid w:val="00276079"/>
    <w:pPr>
      <w:keepNext/>
      <w:keepLines/>
      <w:numPr>
        <w:ilvl w:val="5"/>
        <w:numId w:val="18"/>
      </w:numPr>
      <w:spacing w:before="200"/>
      <w:ind w:left="1152" w:hanging="1152"/>
      <w:outlineLvl w:val="5"/>
    </w:pPr>
    <w:rPr>
      <w:rFonts w:ascii="Cambria" w:hAnsi="Cambria"/>
      <w:i/>
      <w:iCs/>
      <w:color w:val="243F60"/>
    </w:rPr>
  </w:style>
  <w:style w:type="paragraph" w:styleId="Nadpis7">
    <w:name w:val="heading 7"/>
    <w:basedOn w:val="Normln"/>
    <w:next w:val="Normln"/>
    <w:link w:val="Nadpis7Char"/>
    <w:uiPriority w:val="9"/>
    <w:qFormat/>
    <w:rsid w:val="00276079"/>
    <w:pPr>
      <w:keepNext/>
      <w:keepLines/>
      <w:numPr>
        <w:ilvl w:val="6"/>
        <w:numId w:val="18"/>
      </w:numPr>
      <w:spacing w:before="200"/>
      <w:ind w:left="1296" w:hanging="1296"/>
      <w:outlineLvl w:val="6"/>
    </w:pPr>
    <w:rPr>
      <w:rFonts w:ascii="Cambria" w:hAnsi="Cambria"/>
      <w:i/>
      <w:iCs/>
      <w:color w:val="404040"/>
    </w:rPr>
  </w:style>
  <w:style w:type="paragraph" w:styleId="Nadpis8">
    <w:name w:val="heading 8"/>
    <w:basedOn w:val="Normln"/>
    <w:next w:val="Normln"/>
    <w:link w:val="Nadpis8Char"/>
    <w:uiPriority w:val="9"/>
    <w:qFormat/>
    <w:rsid w:val="00276079"/>
    <w:pPr>
      <w:keepNext/>
      <w:keepLines/>
      <w:numPr>
        <w:ilvl w:val="7"/>
        <w:numId w:val="18"/>
      </w:numPr>
      <w:spacing w:before="200"/>
      <w:ind w:left="1440" w:hanging="1440"/>
      <w:outlineLvl w:val="7"/>
    </w:pPr>
    <w:rPr>
      <w:rFonts w:ascii="Cambria" w:hAnsi="Cambria"/>
      <w:color w:val="404040"/>
      <w:sz w:val="20"/>
      <w:szCs w:val="20"/>
    </w:rPr>
  </w:style>
  <w:style w:type="paragraph" w:styleId="Nadpis9">
    <w:name w:val="heading 9"/>
    <w:basedOn w:val="Normln"/>
    <w:next w:val="Normln"/>
    <w:link w:val="Nadpis9Char"/>
    <w:uiPriority w:val="9"/>
    <w:qFormat/>
    <w:rsid w:val="00276079"/>
    <w:pPr>
      <w:keepNext/>
      <w:keepLines/>
      <w:numPr>
        <w:ilvl w:val="8"/>
        <w:numId w:val="18"/>
      </w:numPr>
      <w:spacing w:before="200"/>
      <w:ind w:left="1584" w:hanging="1584"/>
      <w:outlineLvl w:val="8"/>
    </w:pPr>
    <w:rPr>
      <w:rFonts w:ascii="Cambria" w:hAnsi="Cambria"/>
      <w:i/>
      <w:iCs/>
      <w:color w:val="404040"/>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adpis 1 Char"/>
    <w:basedOn w:val="Standardnpsmoodstavce"/>
    <w:link w:val="Nadpis1"/>
    <w:uiPriority w:val="9"/>
    <w:rsid w:val="00420AF3"/>
    <w:rPr>
      <w:rFonts w:cs="Arial"/>
      <w:b/>
      <w:bCs/>
      <w:kern w:val="32"/>
      <w:sz w:val="32"/>
      <w:szCs w:val="32"/>
    </w:rPr>
  </w:style>
  <w:style w:type="character" w:customStyle="1" w:styleId="Nadpis2Char">
    <w:name w:val="Nadpis 2 Char"/>
    <w:aliases w:val="nadpis 2 Char"/>
    <w:basedOn w:val="Standardnpsmoodstavce"/>
    <w:link w:val="Nadpis2"/>
    <w:uiPriority w:val="9"/>
    <w:locked/>
    <w:rsid w:val="005E5BF4"/>
    <w:rPr>
      <w:rFonts w:cs="Arial"/>
      <w:b/>
      <w:bCs/>
      <w:iCs/>
      <w:sz w:val="28"/>
      <w:szCs w:val="28"/>
    </w:rPr>
  </w:style>
  <w:style w:type="character" w:customStyle="1" w:styleId="Nadpis3Char">
    <w:name w:val="Nadpis 3 Char"/>
    <w:aliases w:val="nadpis 3 Char"/>
    <w:basedOn w:val="Standardnpsmoodstavce"/>
    <w:link w:val="Nadpis3"/>
    <w:uiPriority w:val="99"/>
    <w:rsid w:val="00420AF3"/>
    <w:rPr>
      <w:rFonts w:asciiTheme="majorHAnsi" w:eastAsiaTheme="majorEastAsia" w:hAnsiTheme="majorHAnsi" w:cstheme="majorBidi"/>
      <w:b/>
      <w:bCs/>
      <w:sz w:val="26"/>
      <w:szCs w:val="26"/>
    </w:rPr>
  </w:style>
  <w:style w:type="character" w:customStyle="1" w:styleId="Nadpis4Char">
    <w:name w:val="Nadpis 4 Char"/>
    <w:aliases w:val="nadpis 4 Char"/>
    <w:basedOn w:val="Standardnpsmoodstavce"/>
    <w:link w:val="Nadpis4"/>
    <w:uiPriority w:val="99"/>
    <w:rsid w:val="00420AF3"/>
    <w:rPr>
      <w:rFonts w:asciiTheme="minorHAnsi" w:eastAsiaTheme="minorEastAsia" w:hAnsiTheme="minorHAnsi" w:cstheme="minorBidi"/>
      <w:b/>
      <w:bCs/>
      <w:sz w:val="28"/>
      <w:szCs w:val="28"/>
    </w:rPr>
  </w:style>
  <w:style w:type="character" w:customStyle="1" w:styleId="Nadpis5Char">
    <w:name w:val="Nadpis 5 Char"/>
    <w:aliases w:val="nadpis 5 Char"/>
    <w:basedOn w:val="Standardnpsmoodstavce"/>
    <w:link w:val="Nadpis5"/>
    <w:uiPriority w:val="9"/>
    <w:rsid w:val="00420AF3"/>
    <w:rPr>
      <w:b/>
      <w:bCs/>
      <w:iCs/>
      <w:sz w:val="24"/>
      <w:szCs w:val="26"/>
    </w:rPr>
  </w:style>
  <w:style w:type="character" w:customStyle="1" w:styleId="Nadpis6Char">
    <w:name w:val="Nadpis 6 Char"/>
    <w:basedOn w:val="Standardnpsmoodstavce"/>
    <w:link w:val="Nadpis6"/>
    <w:uiPriority w:val="9"/>
    <w:locked/>
    <w:rsid w:val="00276079"/>
    <w:rPr>
      <w:rFonts w:ascii="Cambria" w:hAnsi="Cambria"/>
      <w:i/>
      <w:iCs/>
      <w:color w:val="243F60"/>
      <w:sz w:val="24"/>
      <w:szCs w:val="24"/>
    </w:rPr>
  </w:style>
  <w:style w:type="character" w:customStyle="1" w:styleId="Nadpis7Char">
    <w:name w:val="Nadpis 7 Char"/>
    <w:basedOn w:val="Standardnpsmoodstavce"/>
    <w:link w:val="Nadpis7"/>
    <w:uiPriority w:val="9"/>
    <w:locked/>
    <w:rsid w:val="00276079"/>
    <w:rPr>
      <w:rFonts w:ascii="Cambria" w:hAnsi="Cambria"/>
      <w:i/>
      <w:iCs/>
      <w:color w:val="404040"/>
      <w:sz w:val="24"/>
      <w:szCs w:val="24"/>
    </w:rPr>
  </w:style>
  <w:style w:type="character" w:customStyle="1" w:styleId="Nadpis8Char">
    <w:name w:val="Nadpis 8 Char"/>
    <w:basedOn w:val="Standardnpsmoodstavce"/>
    <w:link w:val="Nadpis8"/>
    <w:uiPriority w:val="9"/>
    <w:locked/>
    <w:rsid w:val="00276079"/>
    <w:rPr>
      <w:rFonts w:ascii="Cambria" w:hAnsi="Cambria"/>
      <w:color w:val="404040"/>
      <w:sz w:val="20"/>
      <w:szCs w:val="20"/>
    </w:rPr>
  </w:style>
  <w:style w:type="character" w:customStyle="1" w:styleId="Nadpis9Char">
    <w:name w:val="Nadpis 9 Char"/>
    <w:basedOn w:val="Standardnpsmoodstavce"/>
    <w:link w:val="Nadpis9"/>
    <w:uiPriority w:val="9"/>
    <w:locked/>
    <w:rsid w:val="00276079"/>
    <w:rPr>
      <w:rFonts w:ascii="Cambria" w:hAnsi="Cambria"/>
      <w:i/>
      <w:iCs/>
      <w:color w:val="404040"/>
      <w:sz w:val="20"/>
      <w:szCs w:val="20"/>
    </w:rPr>
  </w:style>
  <w:style w:type="paragraph" w:customStyle="1" w:styleId="st">
    <w:name w:val="část"/>
    <w:basedOn w:val="Normln"/>
    <w:next w:val="Normln"/>
    <w:uiPriority w:val="99"/>
    <w:rsid w:val="00CF2C17"/>
    <w:pPr>
      <w:keepNext/>
      <w:spacing w:before="360"/>
      <w:jc w:val="center"/>
      <w:outlineLvl w:val="0"/>
    </w:pPr>
    <w:rPr>
      <w:caps/>
    </w:rPr>
  </w:style>
  <w:style w:type="paragraph" w:customStyle="1" w:styleId="hlava">
    <w:name w:val="hlava"/>
    <w:basedOn w:val="Normln"/>
    <w:next w:val="Normln"/>
    <w:uiPriority w:val="99"/>
    <w:rsid w:val="002F3D0C"/>
    <w:pPr>
      <w:keepNext/>
      <w:spacing w:before="240"/>
      <w:jc w:val="center"/>
      <w:outlineLvl w:val="1"/>
    </w:pPr>
  </w:style>
  <w:style w:type="paragraph" w:customStyle="1" w:styleId="zkon-nadpis">
    <w:name w:val="zákon - nadpis"/>
    <w:basedOn w:val="Normln"/>
    <w:uiPriority w:val="99"/>
    <w:rsid w:val="004E0B54"/>
    <w:pPr>
      <w:jc w:val="center"/>
    </w:pPr>
    <w:rPr>
      <w:b/>
      <w:lang w:val="en-US"/>
    </w:rPr>
  </w:style>
  <w:style w:type="paragraph" w:customStyle="1" w:styleId="dl">
    <w:name w:val="díl"/>
    <w:basedOn w:val="Normln"/>
    <w:next w:val="Normln"/>
    <w:uiPriority w:val="99"/>
    <w:rsid w:val="002F3D0C"/>
    <w:pPr>
      <w:keepNext/>
      <w:spacing w:before="240"/>
      <w:jc w:val="center"/>
      <w:outlineLvl w:val="2"/>
    </w:pPr>
  </w:style>
  <w:style w:type="paragraph" w:customStyle="1" w:styleId="oddl">
    <w:name w:val="oddíl"/>
    <w:basedOn w:val="Normln"/>
    <w:next w:val="Normln"/>
    <w:uiPriority w:val="99"/>
    <w:rsid w:val="002F3D0C"/>
    <w:pPr>
      <w:keepNext/>
      <w:spacing w:before="240"/>
      <w:jc w:val="center"/>
      <w:outlineLvl w:val="3"/>
    </w:pPr>
  </w:style>
  <w:style w:type="paragraph" w:customStyle="1" w:styleId="pododdl">
    <w:name w:val="pododdíl"/>
    <w:basedOn w:val="Normln"/>
    <w:next w:val="Normln"/>
    <w:uiPriority w:val="99"/>
    <w:rsid w:val="002F3D0C"/>
    <w:pPr>
      <w:keepNext/>
      <w:spacing w:before="240"/>
      <w:jc w:val="center"/>
      <w:outlineLvl w:val="4"/>
    </w:pPr>
  </w:style>
  <w:style w:type="paragraph" w:customStyle="1" w:styleId="paragraf">
    <w:name w:val="paragraf"/>
    <w:basedOn w:val="Normln"/>
    <w:next w:val="odstavec"/>
    <w:uiPriority w:val="99"/>
    <w:rsid w:val="000B338E"/>
    <w:pPr>
      <w:keepNext/>
      <w:spacing w:before="240"/>
      <w:jc w:val="center"/>
    </w:pPr>
  </w:style>
  <w:style w:type="paragraph" w:customStyle="1" w:styleId="odstavec">
    <w:name w:val="odstavec"/>
    <w:basedOn w:val="Normln"/>
    <w:rsid w:val="003E70FE"/>
    <w:pPr>
      <w:spacing w:before="120"/>
      <w:ind w:firstLine="482"/>
    </w:pPr>
  </w:style>
  <w:style w:type="paragraph" w:customStyle="1" w:styleId="parlament">
    <w:name w:val="parlament"/>
    <w:basedOn w:val="Normln"/>
    <w:uiPriority w:val="99"/>
    <w:rsid w:val="00C7491D"/>
  </w:style>
  <w:style w:type="paragraph" w:customStyle="1" w:styleId="bod">
    <w:name w:val="bod"/>
    <w:basedOn w:val="slovanseznam2"/>
    <w:uiPriority w:val="99"/>
    <w:rsid w:val="00122AA2"/>
    <w:pPr>
      <w:numPr>
        <w:numId w:val="0"/>
      </w:numPr>
      <w:tabs>
        <w:tab w:val="left" w:pos="357"/>
      </w:tabs>
      <w:spacing w:before="0"/>
      <w:ind w:left="714" w:hanging="357"/>
    </w:pPr>
  </w:style>
  <w:style w:type="paragraph" w:styleId="slovanseznam2">
    <w:name w:val="List Number 2"/>
    <w:aliases w:val="číslovaný seznam 2"/>
    <w:basedOn w:val="odsazentext2"/>
    <w:uiPriority w:val="99"/>
    <w:rsid w:val="008371A2"/>
    <w:pPr>
      <w:numPr>
        <w:numId w:val="6"/>
      </w:numPr>
    </w:pPr>
  </w:style>
  <w:style w:type="paragraph" w:customStyle="1" w:styleId="odsazentext2">
    <w:name w:val="odsazený text 2"/>
    <w:basedOn w:val="Normln"/>
    <w:uiPriority w:val="99"/>
    <w:rsid w:val="007836FA"/>
    <w:pPr>
      <w:spacing w:before="120"/>
      <w:ind w:left="720"/>
    </w:pPr>
  </w:style>
  <w:style w:type="paragraph" w:customStyle="1" w:styleId="psmeno">
    <w:name w:val="písmeno"/>
    <w:basedOn w:val="slovanseznam"/>
    <w:rsid w:val="00122AA2"/>
    <w:pPr>
      <w:numPr>
        <w:numId w:val="0"/>
      </w:numPr>
      <w:tabs>
        <w:tab w:val="left" w:pos="357"/>
      </w:tabs>
      <w:spacing w:before="0"/>
      <w:ind w:left="357" w:hanging="357"/>
    </w:pPr>
  </w:style>
  <w:style w:type="paragraph" w:styleId="slovanseznam">
    <w:name w:val="List Number"/>
    <w:aliases w:val="číslovaný seznam 1"/>
    <w:basedOn w:val="odsazentext1"/>
    <w:uiPriority w:val="99"/>
    <w:rsid w:val="007836FA"/>
    <w:pPr>
      <w:numPr>
        <w:numId w:val="5"/>
      </w:numPr>
      <w:ind w:left="360" w:hanging="360"/>
    </w:pPr>
    <w:rPr>
      <w:lang w:val="en-US"/>
    </w:rPr>
  </w:style>
  <w:style w:type="paragraph" w:customStyle="1" w:styleId="odsazentext1">
    <w:name w:val="odsazený text 1"/>
    <w:basedOn w:val="Normln"/>
    <w:uiPriority w:val="99"/>
    <w:rsid w:val="007836FA"/>
    <w:pPr>
      <w:spacing w:before="120"/>
      <w:ind w:left="360"/>
    </w:pPr>
  </w:style>
  <w:style w:type="paragraph" w:customStyle="1" w:styleId="skupinovnadpis">
    <w:name w:val="skupinový nadpis"/>
    <w:basedOn w:val="Normln"/>
    <w:uiPriority w:val="99"/>
    <w:rsid w:val="000B338E"/>
    <w:pPr>
      <w:keepNext/>
      <w:spacing w:before="240"/>
      <w:jc w:val="center"/>
    </w:pPr>
    <w:rPr>
      <w:b/>
    </w:rPr>
  </w:style>
  <w:style w:type="paragraph" w:customStyle="1" w:styleId="zkon">
    <w:name w:val="zákon"/>
    <w:basedOn w:val="Normln"/>
    <w:rsid w:val="000B338E"/>
    <w:pPr>
      <w:keepNext/>
      <w:spacing w:after="240"/>
      <w:jc w:val="center"/>
    </w:pPr>
    <w:rPr>
      <w:caps/>
    </w:rPr>
  </w:style>
  <w:style w:type="paragraph" w:customStyle="1" w:styleId="varianta">
    <w:name w:val="varianta"/>
    <w:basedOn w:val="Normln"/>
    <w:uiPriority w:val="99"/>
    <w:rsid w:val="00122B4F"/>
    <w:pPr>
      <w:spacing w:before="240"/>
    </w:pPr>
    <w:rPr>
      <w:caps/>
    </w:rPr>
  </w:style>
  <w:style w:type="paragraph" w:customStyle="1" w:styleId="zdvodnn">
    <w:name w:val="zdůvodnění"/>
    <w:basedOn w:val="Normln"/>
    <w:next w:val="text"/>
    <w:uiPriority w:val="99"/>
    <w:rsid w:val="00A95CBA"/>
    <w:pPr>
      <w:keepNext/>
      <w:spacing w:before="240"/>
    </w:pPr>
    <w:rPr>
      <w:b/>
    </w:rPr>
  </w:style>
  <w:style w:type="paragraph" w:customStyle="1" w:styleId="text">
    <w:name w:val="text"/>
    <w:basedOn w:val="Normln"/>
    <w:rsid w:val="004E0B54"/>
    <w:pPr>
      <w:spacing w:before="120"/>
      <w:ind w:firstLine="357"/>
    </w:pPr>
  </w:style>
  <w:style w:type="paragraph" w:customStyle="1" w:styleId="slovanseznam3">
    <w:name w:val="číslovaný seznam 3"/>
    <w:basedOn w:val="odsazentext3"/>
    <w:uiPriority w:val="99"/>
    <w:rsid w:val="004E0B54"/>
    <w:pPr>
      <w:numPr>
        <w:numId w:val="7"/>
      </w:numPr>
      <w:ind w:left="1071" w:hanging="357"/>
    </w:pPr>
  </w:style>
  <w:style w:type="paragraph" w:customStyle="1" w:styleId="odsazentext3">
    <w:name w:val="odsazený text 3"/>
    <w:basedOn w:val="Normln"/>
    <w:link w:val="odsazentext3Char"/>
    <w:uiPriority w:val="99"/>
    <w:rsid w:val="007836FA"/>
    <w:pPr>
      <w:spacing w:before="120"/>
      <w:ind w:left="1066"/>
    </w:pPr>
  </w:style>
  <w:style w:type="character" w:customStyle="1" w:styleId="odsazentext3Char">
    <w:name w:val="odsazený text 3 Char"/>
    <w:link w:val="odsazentext3"/>
    <w:uiPriority w:val="99"/>
    <w:locked/>
    <w:rsid w:val="007836FA"/>
    <w:rPr>
      <w:sz w:val="24"/>
      <w:lang w:val="cs-CZ" w:eastAsia="cs-CZ"/>
    </w:rPr>
  </w:style>
  <w:style w:type="paragraph" w:customStyle="1" w:styleId="slovanseznam4">
    <w:name w:val="číslovaný seznam 4"/>
    <w:basedOn w:val="odsazentext4"/>
    <w:uiPriority w:val="99"/>
    <w:rsid w:val="008371A2"/>
    <w:pPr>
      <w:numPr>
        <w:numId w:val="8"/>
      </w:numPr>
    </w:pPr>
  </w:style>
  <w:style w:type="paragraph" w:customStyle="1" w:styleId="odsazentext4">
    <w:name w:val="odsazený text 4"/>
    <w:basedOn w:val="Normln"/>
    <w:link w:val="odsazentext4CharChar"/>
    <w:uiPriority w:val="99"/>
    <w:rsid w:val="007836FA"/>
    <w:pPr>
      <w:spacing w:before="120"/>
      <w:ind w:left="1426"/>
    </w:pPr>
  </w:style>
  <w:style w:type="character" w:customStyle="1" w:styleId="odsazentext4CharChar">
    <w:name w:val="odsazený text 4 Char Char"/>
    <w:link w:val="odsazentext4"/>
    <w:uiPriority w:val="99"/>
    <w:locked/>
    <w:rsid w:val="007836FA"/>
    <w:rPr>
      <w:sz w:val="24"/>
      <w:lang w:val="cs-CZ" w:eastAsia="cs-CZ"/>
    </w:rPr>
  </w:style>
  <w:style w:type="character" w:customStyle="1" w:styleId="tituleknadpisu">
    <w:name w:val="titulek nadpisu"/>
    <w:uiPriority w:val="99"/>
    <w:rsid w:val="002F3D0C"/>
    <w:rPr>
      <w:b/>
    </w:rPr>
  </w:style>
  <w:style w:type="paragraph" w:customStyle="1" w:styleId="neslovanseznam1">
    <w:name w:val="nečíslovaný seznam 1"/>
    <w:basedOn w:val="slovanseznam"/>
    <w:uiPriority w:val="99"/>
    <w:rsid w:val="00734F5F"/>
    <w:pPr>
      <w:numPr>
        <w:numId w:val="1"/>
      </w:numPr>
    </w:pPr>
  </w:style>
  <w:style w:type="paragraph" w:customStyle="1" w:styleId="neslovanseznam2">
    <w:name w:val="nečíslovaný seznam 2"/>
    <w:basedOn w:val="slovanseznam2"/>
    <w:uiPriority w:val="99"/>
    <w:rsid w:val="00734F5F"/>
    <w:pPr>
      <w:numPr>
        <w:numId w:val="2"/>
      </w:numPr>
    </w:pPr>
    <w:rPr>
      <w:lang w:val="en-US"/>
    </w:rPr>
  </w:style>
  <w:style w:type="paragraph" w:customStyle="1" w:styleId="neslovanseznam3">
    <w:name w:val="nečíslovaný seznam 3"/>
    <w:basedOn w:val="slovanseznam3"/>
    <w:uiPriority w:val="99"/>
    <w:rsid w:val="00734F5F"/>
    <w:pPr>
      <w:numPr>
        <w:numId w:val="3"/>
      </w:numPr>
    </w:pPr>
    <w:rPr>
      <w:lang w:val="en-US"/>
    </w:rPr>
  </w:style>
  <w:style w:type="paragraph" w:customStyle="1" w:styleId="neslovanseznam4">
    <w:name w:val="nečíslovaný seznam 4"/>
    <w:basedOn w:val="slovanseznam4"/>
    <w:uiPriority w:val="99"/>
    <w:rsid w:val="00734F5F"/>
    <w:pPr>
      <w:numPr>
        <w:numId w:val="4"/>
      </w:numPr>
    </w:pPr>
    <w:rPr>
      <w:lang w:val="en-US"/>
    </w:rPr>
  </w:style>
  <w:style w:type="character" w:customStyle="1" w:styleId="poznmkapodarou">
    <w:name w:val="poznámka pod čarou"/>
    <w:uiPriority w:val="99"/>
    <w:rsid w:val="00A0230E"/>
    <w:rPr>
      <w:vertAlign w:val="superscript"/>
    </w:rPr>
  </w:style>
  <w:style w:type="paragraph" w:customStyle="1" w:styleId="novelizanbod0">
    <w:name w:val="novelizační bod"/>
    <w:basedOn w:val="Normln"/>
    <w:uiPriority w:val="99"/>
    <w:rsid w:val="00C00EBF"/>
    <w:pPr>
      <w:tabs>
        <w:tab w:val="left" w:pos="357"/>
      </w:tabs>
      <w:spacing w:before="120"/>
    </w:pPr>
  </w:style>
  <w:style w:type="paragraph" w:customStyle="1" w:styleId="textnovelizanhobodu">
    <w:name w:val="text novelizačního bodu"/>
    <w:basedOn w:val="Normln"/>
    <w:next w:val="novelizanbod0"/>
    <w:uiPriority w:val="99"/>
    <w:rsid w:val="009E0D2F"/>
    <w:pPr>
      <w:spacing w:before="120"/>
      <w:ind w:left="357"/>
    </w:pPr>
  </w:style>
  <w:style w:type="paragraph" w:customStyle="1" w:styleId="odsazentext0">
    <w:name w:val="odsazený text 0"/>
    <w:basedOn w:val="Normln"/>
    <w:next w:val="oddl"/>
    <w:uiPriority w:val="99"/>
    <w:rsid w:val="007836FA"/>
    <w:pPr>
      <w:spacing w:before="120"/>
    </w:pPr>
  </w:style>
  <w:style w:type="paragraph" w:customStyle="1" w:styleId="citacepoznmky">
    <w:name w:val="citace poznámky"/>
    <w:basedOn w:val="Normln"/>
    <w:uiPriority w:val="99"/>
    <w:rsid w:val="00DA3C86"/>
    <w:pPr>
      <w:pBdr>
        <w:top w:val="single" w:sz="4" w:space="4" w:color="auto"/>
      </w:pBdr>
      <w:tabs>
        <w:tab w:val="left" w:pos="357"/>
      </w:tabs>
      <w:spacing w:before="120"/>
    </w:pPr>
    <w:rPr>
      <w:lang w:val="en-US"/>
    </w:rPr>
  </w:style>
  <w:style w:type="paragraph" w:customStyle="1" w:styleId="celex">
    <w:name w:val="celex"/>
    <w:basedOn w:val="Normln"/>
    <w:uiPriority w:val="99"/>
    <w:rsid w:val="00EF37BE"/>
    <w:pPr>
      <w:spacing w:before="120"/>
    </w:pPr>
    <w:rPr>
      <w:i/>
      <w:sz w:val="20"/>
    </w:rPr>
  </w:style>
  <w:style w:type="character" w:customStyle="1" w:styleId="zvraznncelexu">
    <w:name w:val="zvýraznění celexu"/>
    <w:uiPriority w:val="99"/>
    <w:rsid w:val="00B63359"/>
    <w:rPr>
      <w:u w:val="single"/>
    </w:rPr>
  </w:style>
  <w:style w:type="table" w:customStyle="1" w:styleId="57">
    <w:name w:val="57"/>
    <w:uiPriority w:val="99"/>
    <w:pPr>
      <w:widowControl w:val="0"/>
      <w:autoSpaceDE w:val="0"/>
      <w:autoSpaceDN w:val="0"/>
      <w:adjustRightInd w:val="0"/>
    </w:pPr>
    <w:rPr>
      <w:sz w:val="24"/>
      <w:szCs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bukatabulky">
    <w:name w:val="buňka tabulky"/>
    <w:basedOn w:val="Normln"/>
    <w:uiPriority w:val="99"/>
    <w:rsid w:val="00BA4190"/>
    <w:pPr>
      <w:spacing w:before="120"/>
    </w:pPr>
  </w:style>
  <w:style w:type="table" w:styleId="Mkatabulky">
    <w:name w:val="Table Grid"/>
    <w:basedOn w:val="Normlntabulka"/>
    <w:uiPriority w:val="99"/>
    <w:rsid w:val="0081536E"/>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Zhlav">
    <w:name w:val="header"/>
    <w:basedOn w:val="Normln"/>
    <w:link w:val="ZhlavChar"/>
    <w:rsid w:val="00D25CB9"/>
    <w:pPr>
      <w:tabs>
        <w:tab w:val="center" w:pos="4536"/>
        <w:tab w:val="right" w:pos="9072"/>
      </w:tabs>
    </w:pPr>
  </w:style>
  <w:style w:type="character" w:customStyle="1" w:styleId="ZhlavChar">
    <w:name w:val="Záhlaví Char"/>
    <w:basedOn w:val="Standardnpsmoodstavce"/>
    <w:link w:val="Zhlav"/>
    <w:rsid w:val="00420AF3"/>
    <w:rPr>
      <w:sz w:val="24"/>
      <w:szCs w:val="24"/>
    </w:rPr>
  </w:style>
  <w:style w:type="character" w:styleId="slostrnky">
    <w:name w:val="page number"/>
    <w:basedOn w:val="Standardnpsmoodstavce"/>
    <w:rsid w:val="00D25CB9"/>
    <w:rPr>
      <w:rFonts w:cs="Times New Roman"/>
    </w:rPr>
  </w:style>
  <w:style w:type="paragraph" w:styleId="Textbubliny">
    <w:name w:val="Balloon Text"/>
    <w:basedOn w:val="Normln"/>
    <w:link w:val="TextbublinyChar"/>
    <w:uiPriority w:val="99"/>
    <w:semiHidden/>
    <w:rsid w:val="007B45D7"/>
    <w:rPr>
      <w:rFonts w:ascii="Tahoma" w:hAnsi="Tahoma" w:cs="Tahoma"/>
      <w:sz w:val="16"/>
      <w:szCs w:val="16"/>
    </w:rPr>
  </w:style>
  <w:style w:type="character" w:customStyle="1" w:styleId="TextbublinyChar">
    <w:name w:val="Text bubliny Char"/>
    <w:basedOn w:val="Standardnpsmoodstavce"/>
    <w:link w:val="Textbubliny"/>
    <w:uiPriority w:val="99"/>
    <w:semiHidden/>
    <w:rsid w:val="00420AF3"/>
    <w:rPr>
      <w:sz w:val="0"/>
      <w:szCs w:val="0"/>
    </w:rPr>
  </w:style>
  <w:style w:type="paragraph" w:styleId="Zpat">
    <w:name w:val="footer"/>
    <w:basedOn w:val="Normln"/>
    <w:link w:val="ZpatChar"/>
    <w:rsid w:val="00E326C3"/>
    <w:pPr>
      <w:tabs>
        <w:tab w:val="center" w:pos="4536"/>
        <w:tab w:val="right" w:pos="9072"/>
      </w:tabs>
    </w:pPr>
  </w:style>
  <w:style w:type="character" w:customStyle="1" w:styleId="ZpatChar">
    <w:name w:val="Zápatí Char"/>
    <w:basedOn w:val="Standardnpsmoodstavce"/>
    <w:link w:val="Zpat"/>
    <w:locked/>
    <w:rsid w:val="00E326C3"/>
    <w:rPr>
      <w:sz w:val="24"/>
    </w:rPr>
  </w:style>
  <w:style w:type="paragraph" w:customStyle="1" w:styleId="nadpiszkona">
    <w:name w:val="nadpis zákona"/>
    <w:basedOn w:val="Normln"/>
    <w:next w:val="parlament"/>
    <w:rsid w:val="00A115E5"/>
    <w:pPr>
      <w:keepNext/>
      <w:keepLines/>
      <w:spacing w:before="120"/>
      <w:jc w:val="center"/>
      <w:outlineLvl w:val="0"/>
    </w:pPr>
    <w:rPr>
      <w:b/>
      <w:szCs w:val="20"/>
    </w:rPr>
  </w:style>
  <w:style w:type="paragraph" w:customStyle="1" w:styleId="NADPISSTI">
    <w:name w:val="NADPIS ČÁSTI"/>
    <w:basedOn w:val="Normln"/>
    <w:next w:val="hlava"/>
    <w:link w:val="NADPISSTIChar"/>
    <w:rsid w:val="00A115E5"/>
    <w:pPr>
      <w:keepNext/>
      <w:keepLines/>
      <w:jc w:val="center"/>
      <w:outlineLvl w:val="1"/>
    </w:pPr>
    <w:rPr>
      <w:b/>
      <w:szCs w:val="20"/>
    </w:rPr>
  </w:style>
  <w:style w:type="paragraph" w:customStyle="1" w:styleId="Nadpishlavy">
    <w:name w:val="Nadpis hlavy"/>
    <w:basedOn w:val="Normln"/>
    <w:next w:val="dl"/>
    <w:rsid w:val="00A115E5"/>
    <w:pPr>
      <w:keepNext/>
      <w:keepLines/>
      <w:jc w:val="center"/>
      <w:outlineLvl w:val="2"/>
    </w:pPr>
    <w:rPr>
      <w:b/>
      <w:szCs w:val="20"/>
    </w:rPr>
  </w:style>
  <w:style w:type="paragraph" w:customStyle="1" w:styleId="Nadpisdlu">
    <w:name w:val="Nadpis dílu"/>
    <w:basedOn w:val="Normln"/>
    <w:next w:val="oddl"/>
    <w:rsid w:val="00A115E5"/>
    <w:pPr>
      <w:keepNext/>
      <w:keepLines/>
      <w:jc w:val="center"/>
      <w:outlineLvl w:val="3"/>
    </w:pPr>
    <w:rPr>
      <w:b/>
      <w:szCs w:val="20"/>
    </w:rPr>
  </w:style>
  <w:style w:type="paragraph" w:customStyle="1" w:styleId="Nadpisoddlu">
    <w:name w:val="Nadpis oddílu"/>
    <w:basedOn w:val="Normln"/>
    <w:next w:val="paragraf"/>
    <w:rsid w:val="00A115E5"/>
    <w:pPr>
      <w:keepNext/>
      <w:keepLines/>
      <w:jc w:val="center"/>
      <w:outlineLvl w:val="4"/>
    </w:pPr>
    <w:rPr>
      <w:b/>
      <w:szCs w:val="20"/>
    </w:rPr>
  </w:style>
  <w:style w:type="paragraph" w:customStyle="1" w:styleId="Nadpisparagrafu">
    <w:name w:val="Nadpis paragrafu"/>
    <w:basedOn w:val="paragraf"/>
    <w:next w:val="Normln"/>
    <w:rsid w:val="00A115E5"/>
    <w:pPr>
      <w:keepLines/>
      <w:outlineLvl w:val="5"/>
    </w:pPr>
    <w:rPr>
      <w:b/>
      <w:szCs w:val="20"/>
    </w:rPr>
  </w:style>
  <w:style w:type="paragraph" w:customStyle="1" w:styleId="Parlament0">
    <w:name w:val="Parlament"/>
    <w:basedOn w:val="Normln"/>
    <w:next w:val="st"/>
    <w:rsid w:val="00A115E5"/>
    <w:pPr>
      <w:keepNext/>
      <w:keepLines/>
      <w:spacing w:before="360" w:after="240"/>
    </w:pPr>
    <w:rPr>
      <w:szCs w:val="20"/>
    </w:rPr>
  </w:style>
  <w:style w:type="paragraph" w:customStyle="1" w:styleId="Textbodu">
    <w:name w:val="Text bodu"/>
    <w:basedOn w:val="Normln"/>
    <w:rsid w:val="00A115E5"/>
    <w:pPr>
      <w:numPr>
        <w:ilvl w:val="2"/>
        <w:numId w:val="10"/>
      </w:numPr>
      <w:outlineLvl w:val="8"/>
    </w:pPr>
    <w:rPr>
      <w:szCs w:val="20"/>
    </w:rPr>
  </w:style>
  <w:style w:type="paragraph" w:customStyle="1" w:styleId="Nadpislnku">
    <w:name w:val="Nadpis článku"/>
    <w:basedOn w:val="Normln"/>
    <w:next w:val="Normln"/>
    <w:link w:val="NadpislnkuChar"/>
    <w:rsid w:val="00A115E5"/>
    <w:pPr>
      <w:keepNext/>
      <w:keepLines/>
      <w:spacing w:before="240"/>
      <w:jc w:val="center"/>
      <w:outlineLvl w:val="5"/>
    </w:pPr>
    <w:rPr>
      <w:b/>
      <w:szCs w:val="20"/>
    </w:rPr>
  </w:style>
  <w:style w:type="paragraph" w:customStyle="1" w:styleId="Nvrh">
    <w:name w:val="Návrh"/>
    <w:basedOn w:val="Normln"/>
    <w:next w:val="zkon"/>
    <w:rsid w:val="00A115E5"/>
    <w:pPr>
      <w:keepNext/>
      <w:keepLines/>
      <w:spacing w:after="240"/>
      <w:jc w:val="center"/>
      <w:outlineLvl w:val="0"/>
    </w:pPr>
    <w:rPr>
      <w:spacing w:val="40"/>
      <w:szCs w:val="20"/>
    </w:rPr>
  </w:style>
  <w:style w:type="paragraph" w:customStyle="1" w:styleId="VARIANTA0">
    <w:name w:val="VARIANTA"/>
    <w:basedOn w:val="Normln"/>
    <w:next w:val="Normln"/>
    <w:rsid w:val="00A115E5"/>
    <w:pPr>
      <w:keepNext/>
      <w:spacing w:before="120"/>
    </w:pPr>
    <w:rPr>
      <w:caps/>
      <w:spacing w:val="60"/>
      <w:szCs w:val="20"/>
    </w:rPr>
  </w:style>
  <w:style w:type="paragraph" w:customStyle="1" w:styleId="VARIANTA-konec">
    <w:name w:val="VARIANTA - konec"/>
    <w:basedOn w:val="Normln"/>
    <w:next w:val="Normln"/>
    <w:rsid w:val="00A115E5"/>
    <w:rPr>
      <w:caps/>
      <w:spacing w:val="60"/>
      <w:szCs w:val="20"/>
    </w:rPr>
  </w:style>
  <w:style w:type="paragraph" w:customStyle="1" w:styleId="Textodstavce">
    <w:name w:val="Text odstavce"/>
    <w:basedOn w:val="Normln"/>
    <w:rsid w:val="00A115E5"/>
    <w:pPr>
      <w:numPr>
        <w:numId w:val="10"/>
      </w:numPr>
      <w:tabs>
        <w:tab w:val="left" w:pos="851"/>
      </w:tabs>
      <w:spacing w:before="120"/>
      <w:outlineLvl w:val="6"/>
    </w:pPr>
    <w:rPr>
      <w:szCs w:val="20"/>
    </w:rPr>
  </w:style>
  <w:style w:type="paragraph" w:customStyle="1" w:styleId="Textpsmene">
    <w:name w:val="Text písmene"/>
    <w:basedOn w:val="Normln"/>
    <w:rsid w:val="00A115E5"/>
    <w:pPr>
      <w:outlineLvl w:val="7"/>
    </w:pPr>
    <w:rPr>
      <w:szCs w:val="20"/>
    </w:rPr>
  </w:style>
  <w:style w:type="paragraph" w:customStyle="1" w:styleId="ZKON0">
    <w:name w:val="ZÁKON"/>
    <w:basedOn w:val="Normln"/>
    <w:next w:val="nadpiszkona"/>
    <w:rsid w:val="00A115E5"/>
    <w:pPr>
      <w:keepNext/>
      <w:keepLines/>
      <w:jc w:val="center"/>
      <w:outlineLvl w:val="0"/>
    </w:pPr>
    <w:rPr>
      <w:b/>
      <w:caps/>
      <w:szCs w:val="20"/>
    </w:rPr>
  </w:style>
  <w:style w:type="paragraph" w:customStyle="1" w:styleId="lnek">
    <w:name w:val="Článek"/>
    <w:basedOn w:val="Normln"/>
    <w:next w:val="Textodstavce"/>
    <w:link w:val="lnekChar"/>
    <w:rsid w:val="00A115E5"/>
    <w:pPr>
      <w:keepNext/>
      <w:keepLines/>
      <w:spacing w:before="240"/>
      <w:jc w:val="center"/>
      <w:outlineLvl w:val="5"/>
    </w:pPr>
    <w:rPr>
      <w:szCs w:val="20"/>
    </w:rPr>
  </w:style>
  <w:style w:type="paragraph" w:customStyle="1" w:styleId="Novelizanbod">
    <w:name w:val="Novelizační bod"/>
    <w:basedOn w:val="Normln"/>
    <w:next w:val="Normln"/>
    <w:link w:val="NovelizanbodChar"/>
    <w:rsid w:val="00A115E5"/>
    <w:pPr>
      <w:keepNext/>
      <w:keepLines/>
      <w:numPr>
        <w:numId w:val="11"/>
      </w:numPr>
      <w:tabs>
        <w:tab w:val="left" w:pos="851"/>
      </w:tabs>
      <w:spacing w:before="480"/>
    </w:pPr>
    <w:rPr>
      <w:szCs w:val="20"/>
    </w:rPr>
  </w:style>
  <w:style w:type="paragraph" w:customStyle="1" w:styleId="Nadpispozmn">
    <w:name w:val="Nadpis pozm.n."/>
    <w:basedOn w:val="Normln"/>
    <w:next w:val="Normln"/>
    <w:rsid w:val="00A115E5"/>
    <w:pPr>
      <w:keepNext/>
      <w:keepLines/>
      <w:jc w:val="center"/>
    </w:pPr>
    <w:rPr>
      <w:b/>
      <w:sz w:val="32"/>
      <w:szCs w:val="20"/>
    </w:rPr>
  </w:style>
  <w:style w:type="paragraph" w:customStyle="1" w:styleId="Novelizanbodvpozmn">
    <w:name w:val="Novelizační bod v pozm.n."/>
    <w:basedOn w:val="Normln"/>
    <w:next w:val="Normln"/>
    <w:rsid w:val="00A115E5"/>
    <w:pPr>
      <w:keepNext/>
      <w:keepLines/>
      <w:numPr>
        <w:numId w:val="12"/>
      </w:numPr>
      <w:tabs>
        <w:tab w:val="left" w:pos="1418"/>
      </w:tabs>
      <w:spacing w:before="240"/>
    </w:pPr>
    <w:rPr>
      <w:szCs w:val="20"/>
    </w:rPr>
  </w:style>
  <w:style w:type="paragraph" w:customStyle="1" w:styleId="Psmeno0">
    <w:name w:val="&quot;Písmeno&quot;"/>
    <w:basedOn w:val="Normln"/>
    <w:next w:val="Normln"/>
    <w:rsid w:val="00A115E5"/>
    <w:pPr>
      <w:keepNext/>
      <w:keepLines/>
      <w:ind w:left="425" w:hanging="425"/>
    </w:pPr>
    <w:rPr>
      <w:szCs w:val="20"/>
    </w:rPr>
  </w:style>
  <w:style w:type="paragraph" w:customStyle="1" w:styleId="Textpozmn">
    <w:name w:val="Text pozm.n."/>
    <w:basedOn w:val="Normln"/>
    <w:next w:val="Normln"/>
    <w:rsid w:val="00A115E5"/>
    <w:pPr>
      <w:numPr>
        <w:numId w:val="13"/>
      </w:numPr>
      <w:tabs>
        <w:tab w:val="left" w:pos="851"/>
      </w:tabs>
    </w:pPr>
    <w:rPr>
      <w:szCs w:val="20"/>
    </w:rPr>
  </w:style>
  <w:style w:type="paragraph" w:customStyle="1" w:styleId="Oznaenpozmn">
    <w:name w:val="Označení pozm.n."/>
    <w:basedOn w:val="Normln"/>
    <w:next w:val="Normln"/>
    <w:rsid w:val="00A115E5"/>
    <w:pPr>
      <w:numPr>
        <w:numId w:val="14"/>
      </w:numPr>
    </w:pPr>
    <w:rPr>
      <w:b/>
      <w:szCs w:val="20"/>
    </w:rPr>
  </w:style>
  <w:style w:type="paragraph" w:customStyle="1" w:styleId="CELEX0">
    <w:name w:val="CELEX"/>
    <w:basedOn w:val="Normln"/>
    <w:next w:val="Normln"/>
    <w:rsid w:val="00A115E5"/>
    <w:pPr>
      <w:spacing w:before="60"/>
    </w:pPr>
    <w:rPr>
      <w:i/>
      <w:sz w:val="20"/>
      <w:szCs w:val="20"/>
    </w:rPr>
  </w:style>
  <w:style w:type="paragraph" w:customStyle="1" w:styleId="ST0">
    <w:name w:val="ČÁST"/>
    <w:basedOn w:val="Normln"/>
    <w:next w:val="NADPISSTI"/>
    <w:rsid w:val="00A115E5"/>
    <w:pPr>
      <w:keepNext/>
      <w:keepLines/>
      <w:spacing w:before="240"/>
      <w:jc w:val="center"/>
      <w:outlineLvl w:val="1"/>
    </w:pPr>
    <w:rPr>
      <w:caps/>
      <w:szCs w:val="20"/>
    </w:rPr>
  </w:style>
  <w:style w:type="paragraph" w:customStyle="1" w:styleId="Hlava0">
    <w:name w:val="Hlava"/>
    <w:basedOn w:val="Normln"/>
    <w:next w:val="Nadpishlavy"/>
    <w:rsid w:val="00A115E5"/>
    <w:pPr>
      <w:keepNext/>
      <w:keepLines/>
      <w:spacing w:before="240"/>
      <w:jc w:val="center"/>
      <w:outlineLvl w:val="2"/>
    </w:pPr>
    <w:rPr>
      <w:szCs w:val="20"/>
    </w:rPr>
  </w:style>
  <w:style w:type="paragraph" w:customStyle="1" w:styleId="Dl0">
    <w:name w:val="Díl"/>
    <w:basedOn w:val="Normln"/>
    <w:next w:val="Nadpisdlu"/>
    <w:rsid w:val="00A115E5"/>
    <w:pPr>
      <w:keepNext/>
      <w:keepLines/>
      <w:spacing w:before="240"/>
      <w:jc w:val="center"/>
      <w:outlineLvl w:val="3"/>
    </w:pPr>
    <w:rPr>
      <w:szCs w:val="20"/>
    </w:rPr>
  </w:style>
  <w:style w:type="paragraph" w:customStyle="1" w:styleId="Oddl0">
    <w:name w:val="Oddíl"/>
    <w:basedOn w:val="Normln"/>
    <w:next w:val="Nadpisoddlu"/>
    <w:rsid w:val="00A115E5"/>
    <w:pPr>
      <w:keepNext/>
      <w:keepLines/>
      <w:spacing w:before="240"/>
      <w:jc w:val="center"/>
      <w:outlineLvl w:val="4"/>
    </w:pPr>
    <w:rPr>
      <w:szCs w:val="20"/>
    </w:rPr>
  </w:style>
  <w:style w:type="paragraph" w:customStyle="1" w:styleId="Paragraf0">
    <w:name w:val="Paragraf"/>
    <w:basedOn w:val="Normln"/>
    <w:next w:val="Textodstavce"/>
    <w:rsid w:val="00A115E5"/>
    <w:pPr>
      <w:keepNext/>
      <w:keepLines/>
      <w:spacing w:before="240"/>
      <w:jc w:val="center"/>
      <w:outlineLvl w:val="5"/>
    </w:pPr>
    <w:rPr>
      <w:szCs w:val="20"/>
    </w:rPr>
  </w:style>
  <w:style w:type="paragraph" w:customStyle="1" w:styleId="Podpis">
    <w:name w:val="Podpis_"/>
    <w:basedOn w:val="Normln"/>
    <w:next w:val="Normln"/>
    <w:rsid w:val="00A115E5"/>
    <w:pPr>
      <w:keepNext/>
      <w:keepLines/>
      <w:spacing w:before="720"/>
      <w:jc w:val="center"/>
    </w:pPr>
    <w:rPr>
      <w:szCs w:val="20"/>
    </w:rPr>
  </w:style>
  <w:style w:type="paragraph" w:customStyle="1" w:styleId="funkce">
    <w:name w:val="funkce"/>
    <w:basedOn w:val="Normln"/>
    <w:rsid w:val="00A115E5"/>
    <w:pPr>
      <w:keepLines/>
      <w:jc w:val="center"/>
    </w:pPr>
    <w:rPr>
      <w:szCs w:val="20"/>
    </w:rPr>
  </w:style>
  <w:style w:type="character" w:customStyle="1" w:styleId="Odkaznapoznpodarou">
    <w:name w:val="Odkaz na pozn. pod čarou"/>
    <w:rsid w:val="00A115E5"/>
    <w:rPr>
      <w:vertAlign w:val="superscript"/>
    </w:rPr>
  </w:style>
  <w:style w:type="paragraph" w:customStyle="1" w:styleId="Textbodunovely">
    <w:name w:val="Text bodu novely"/>
    <w:basedOn w:val="Normln"/>
    <w:next w:val="Normln"/>
    <w:rsid w:val="00A115E5"/>
    <w:pPr>
      <w:ind w:left="567" w:hanging="567"/>
    </w:pPr>
    <w:rPr>
      <w:szCs w:val="20"/>
    </w:rPr>
  </w:style>
  <w:style w:type="paragraph" w:customStyle="1" w:styleId="Popisky">
    <w:name w:val="Popisky"/>
    <w:uiPriority w:val="99"/>
    <w:rsid w:val="00156BE6"/>
    <w:rPr>
      <w:rFonts w:ascii="Arial" w:hAnsi="Arial"/>
      <w:sz w:val="20"/>
      <w:szCs w:val="20"/>
    </w:rPr>
  </w:style>
  <w:style w:type="paragraph" w:styleId="Textpoznpodarou">
    <w:name w:val="footnote text"/>
    <w:aliases w:val="Footnote Text Char1,Footnote Text Char Char,Footnote Text Char2 Char Char,Footnote Text Char1 Char Char Char,Footnote Text Char Char Char Char Char,Footnote Text Char2 Char Char Char Char Char,Footnote Text Char"/>
    <w:basedOn w:val="Normln"/>
    <w:link w:val="TextpoznpodarouChar"/>
    <w:rsid w:val="00AF18E7"/>
    <w:rPr>
      <w:sz w:val="20"/>
      <w:szCs w:val="20"/>
    </w:rPr>
  </w:style>
  <w:style w:type="character" w:customStyle="1" w:styleId="TextpoznpodarouChar">
    <w:name w:val="Text pozn. pod čarou Char"/>
    <w:aliases w:val="Footnote Text Char1 Char,Footnote Text Char Char Char,Footnote Text Char2 Char Char Char,Footnote Text Char1 Char Char Char Char,Footnote Text Char Char Char Char Char Char,Footnote Text Char2 Char Char Char Char Char Char"/>
    <w:basedOn w:val="Standardnpsmoodstavce"/>
    <w:link w:val="Textpoznpodarou"/>
    <w:locked/>
    <w:rsid w:val="00AF18E7"/>
    <w:rPr>
      <w:rFonts w:cs="Times New Roman"/>
    </w:rPr>
  </w:style>
  <w:style w:type="character" w:styleId="Znakapoznpodarou">
    <w:name w:val="footnote reference"/>
    <w:basedOn w:val="Standardnpsmoodstavce"/>
    <w:rsid w:val="00AF18E7"/>
    <w:rPr>
      <w:rFonts w:cs="Times New Roman"/>
      <w:vertAlign w:val="superscript"/>
    </w:rPr>
  </w:style>
  <w:style w:type="character" w:styleId="Hypertextovodkaz">
    <w:name w:val="Hyperlink"/>
    <w:basedOn w:val="Standardnpsmoodstavce"/>
    <w:uiPriority w:val="99"/>
    <w:rsid w:val="00AF18E7"/>
    <w:rPr>
      <w:rFonts w:cs="Times New Roman"/>
      <w:color w:val="0000FF"/>
      <w:u w:val="single"/>
    </w:rPr>
  </w:style>
  <w:style w:type="character" w:styleId="Sledovanodkaz">
    <w:name w:val="FollowedHyperlink"/>
    <w:basedOn w:val="Standardnpsmoodstavce"/>
    <w:uiPriority w:val="99"/>
    <w:rsid w:val="00AF18E7"/>
    <w:rPr>
      <w:rFonts w:cs="Times New Roman"/>
      <w:color w:val="800080"/>
      <w:u w:val="single"/>
    </w:rPr>
  </w:style>
  <w:style w:type="paragraph" w:customStyle="1" w:styleId="Dslovnpsmenatun">
    <w:name w:val="D Číslování písmena + tučné"/>
    <w:basedOn w:val="Normln"/>
    <w:uiPriority w:val="99"/>
    <w:rsid w:val="00CC7CC8"/>
    <w:pPr>
      <w:numPr>
        <w:numId w:val="15"/>
      </w:numPr>
      <w:tabs>
        <w:tab w:val="clear" w:pos="1743"/>
      </w:tabs>
      <w:spacing w:before="120"/>
      <w:ind w:left="720" w:hanging="360"/>
    </w:pPr>
    <w:rPr>
      <w:b/>
    </w:rPr>
  </w:style>
  <w:style w:type="paragraph" w:customStyle="1" w:styleId="Dslovnmsksla">
    <w:name w:val="D Číslování římská čísla"/>
    <w:basedOn w:val="Normln"/>
    <w:uiPriority w:val="99"/>
    <w:rsid w:val="00CC7CC8"/>
    <w:pPr>
      <w:numPr>
        <w:numId w:val="16"/>
      </w:numPr>
      <w:spacing w:before="120"/>
      <w:ind w:left="1134" w:hanging="283"/>
    </w:pPr>
  </w:style>
  <w:style w:type="paragraph" w:customStyle="1" w:styleId="DTlotextu2">
    <w:name w:val="D Tělo textu 2"/>
    <w:basedOn w:val="Normln"/>
    <w:uiPriority w:val="99"/>
    <w:rsid w:val="00CC7CC8"/>
    <w:pPr>
      <w:spacing w:before="120"/>
      <w:ind w:left="567"/>
    </w:pPr>
  </w:style>
  <w:style w:type="paragraph" w:customStyle="1" w:styleId="DTlotextu1">
    <w:name w:val="D Tělo textu 1"/>
    <w:basedOn w:val="Normln"/>
    <w:qFormat/>
    <w:rsid w:val="00CC7CC8"/>
    <w:pPr>
      <w:spacing w:before="120"/>
    </w:pPr>
  </w:style>
  <w:style w:type="character" w:styleId="Odkaznakoment">
    <w:name w:val="annotation reference"/>
    <w:basedOn w:val="Standardnpsmoodstavce"/>
    <w:uiPriority w:val="99"/>
    <w:rsid w:val="000A527E"/>
    <w:rPr>
      <w:rFonts w:cs="Times New Roman"/>
      <w:sz w:val="16"/>
    </w:rPr>
  </w:style>
  <w:style w:type="paragraph" w:styleId="Textkomente">
    <w:name w:val="annotation text"/>
    <w:basedOn w:val="Normln"/>
    <w:link w:val="TextkomenteChar"/>
    <w:uiPriority w:val="99"/>
    <w:rsid w:val="000A527E"/>
    <w:rPr>
      <w:sz w:val="20"/>
      <w:szCs w:val="20"/>
    </w:rPr>
  </w:style>
  <w:style w:type="character" w:customStyle="1" w:styleId="TextkomenteChar">
    <w:name w:val="Text komentáře Char"/>
    <w:basedOn w:val="Standardnpsmoodstavce"/>
    <w:link w:val="Textkomente"/>
    <w:uiPriority w:val="99"/>
    <w:locked/>
    <w:rsid w:val="000A527E"/>
    <w:rPr>
      <w:rFonts w:cs="Times New Roman"/>
    </w:rPr>
  </w:style>
  <w:style w:type="paragraph" w:styleId="Pedmtkomente">
    <w:name w:val="annotation subject"/>
    <w:basedOn w:val="Textkomente"/>
    <w:next w:val="Textkomente"/>
    <w:link w:val="PedmtkomenteChar"/>
    <w:uiPriority w:val="99"/>
    <w:rsid w:val="000A527E"/>
    <w:rPr>
      <w:b/>
      <w:bCs/>
    </w:rPr>
  </w:style>
  <w:style w:type="character" w:customStyle="1" w:styleId="PedmtkomenteChar">
    <w:name w:val="Předmět komentáře Char"/>
    <w:basedOn w:val="TextkomenteChar"/>
    <w:link w:val="Pedmtkomente"/>
    <w:uiPriority w:val="99"/>
    <w:locked/>
    <w:rsid w:val="000A527E"/>
    <w:rPr>
      <w:rFonts w:cs="Times New Roman"/>
      <w:b/>
    </w:rPr>
  </w:style>
  <w:style w:type="paragraph" w:styleId="Revize">
    <w:name w:val="Revision"/>
    <w:hidden/>
    <w:uiPriority w:val="99"/>
    <w:semiHidden/>
    <w:rsid w:val="00D63459"/>
    <w:rPr>
      <w:sz w:val="24"/>
      <w:szCs w:val="24"/>
    </w:rPr>
  </w:style>
  <w:style w:type="paragraph" w:styleId="Odstavecseseznamem">
    <w:name w:val="List Paragraph"/>
    <w:basedOn w:val="Normln"/>
    <w:link w:val="OdstavecseseznamemChar"/>
    <w:uiPriority w:val="34"/>
    <w:qFormat/>
    <w:rsid w:val="00B47742"/>
    <w:pPr>
      <w:ind w:left="720"/>
    </w:pPr>
    <w:rPr>
      <w:rFonts w:ascii="Calibri" w:hAnsi="Calibri" w:cs="Calibri"/>
      <w:sz w:val="22"/>
      <w:szCs w:val="22"/>
      <w:lang w:eastAsia="en-US"/>
    </w:rPr>
  </w:style>
  <w:style w:type="character" w:customStyle="1" w:styleId="OdstavecseseznamemChar">
    <w:name w:val="Odstavec se seznamem Char"/>
    <w:link w:val="Odstavecseseznamem"/>
    <w:uiPriority w:val="34"/>
    <w:locked/>
    <w:rsid w:val="006D6F41"/>
    <w:rPr>
      <w:rFonts w:ascii="Calibri" w:hAnsi="Calibri" w:cs="Calibri"/>
      <w:lang w:eastAsia="en-US"/>
    </w:rPr>
  </w:style>
  <w:style w:type="paragraph" w:customStyle="1" w:styleId="Normln2">
    <w:name w:val="Normální 2"/>
    <w:basedOn w:val="Normln"/>
    <w:link w:val="Normln2Char"/>
    <w:uiPriority w:val="99"/>
    <w:rsid w:val="002E5601"/>
    <w:rPr>
      <w:noProof/>
      <w:szCs w:val="20"/>
    </w:rPr>
  </w:style>
  <w:style w:type="character" w:customStyle="1" w:styleId="Normln2Char">
    <w:name w:val="Normální 2 Char"/>
    <w:basedOn w:val="Standardnpsmoodstavce"/>
    <w:link w:val="Normln2"/>
    <w:uiPriority w:val="99"/>
    <w:locked/>
    <w:rsid w:val="002E5601"/>
    <w:rPr>
      <w:noProof/>
      <w:sz w:val="24"/>
      <w:szCs w:val="20"/>
    </w:rPr>
  </w:style>
  <w:style w:type="paragraph" w:customStyle="1" w:styleId="za1">
    <w:name w:val="za 1."/>
    <w:basedOn w:val="Normln"/>
    <w:uiPriority w:val="99"/>
    <w:rsid w:val="00F365D3"/>
    <w:pPr>
      <w:numPr>
        <w:numId w:val="20"/>
      </w:numPr>
    </w:pPr>
    <w:rPr>
      <w:szCs w:val="20"/>
      <w:lang w:eastAsia="en-GB"/>
    </w:rPr>
  </w:style>
  <w:style w:type="paragraph" w:customStyle="1" w:styleId="RIA1">
    <w:name w:val="RIA1"/>
    <w:basedOn w:val="Nadpis2"/>
    <w:link w:val="RIA1Char"/>
    <w:uiPriority w:val="99"/>
    <w:rsid w:val="000B6EB8"/>
    <w:pPr>
      <w:numPr>
        <w:ilvl w:val="0"/>
        <w:numId w:val="0"/>
      </w:numPr>
      <w:shd w:val="clear" w:color="auto" w:fill="FFFFFF"/>
      <w:spacing w:before="120" w:after="0"/>
      <w:jc w:val="both"/>
    </w:pPr>
    <w:rPr>
      <w:noProof/>
      <w:sz w:val="26"/>
      <w:szCs w:val="26"/>
    </w:rPr>
  </w:style>
  <w:style w:type="character" w:customStyle="1" w:styleId="RIA1Char">
    <w:name w:val="RIA1 Char"/>
    <w:basedOn w:val="Nadpis2Char"/>
    <w:link w:val="RIA1"/>
    <w:uiPriority w:val="99"/>
    <w:locked/>
    <w:rsid w:val="000B6EB8"/>
    <w:rPr>
      <w:rFonts w:cs="Arial"/>
      <w:b/>
      <w:bCs/>
      <w:iCs/>
      <w:noProof/>
      <w:sz w:val="26"/>
      <w:szCs w:val="26"/>
      <w:shd w:val="clear" w:color="auto" w:fill="FFFFFF"/>
    </w:rPr>
  </w:style>
  <w:style w:type="paragraph" w:customStyle="1" w:styleId="Dvodovzprva">
    <w:name w:val="Důvodová zpráva"/>
    <w:basedOn w:val="nadpiszkona"/>
    <w:link w:val="DvodovzprvaChar"/>
    <w:rsid w:val="0051222D"/>
    <w:pPr>
      <w:keepLines w:val="0"/>
      <w:spacing w:after="0"/>
      <w:jc w:val="both"/>
    </w:pPr>
    <w:rPr>
      <w:rFonts w:ascii="Arial" w:hAnsi="Arial"/>
      <w:b w:val="0"/>
      <w:color w:val="0000FF"/>
    </w:rPr>
  </w:style>
  <w:style w:type="character" w:customStyle="1" w:styleId="DvodovzprvaChar">
    <w:name w:val="Důvodová zpráva Char"/>
    <w:link w:val="Dvodovzprva"/>
    <w:rsid w:val="0051222D"/>
    <w:rPr>
      <w:rFonts w:ascii="Arial" w:hAnsi="Arial"/>
      <w:color w:val="0000FF"/>
      <w:sz w:val="24"/>
      <w:szCs w:val="20"/>
    </w:rPr>
  </w:style>
  <w:style w:type="paragraph" w:styleId="Zkladntextodsazen">
    <w:name w:val="Body Text Indent"/>
    <w:basedOn w:val="Normln"/>
    <w:link w:val="ZkladntextodsazenChar"/>
    <w:semiHidden/>
    <w:rsid w:val="005E1A24"/>
    <w:pPr>
      <w:spacing w:after="0"/>
      <w:ind w:left="4320" w:hanging="4320"/>
      <w:jc w:val="left"/>
    </w:pPr>
  </w:style>
  <w:style w:type="character" w:customStyle="1" w:styleId="ZkladntextodsazenChar">
    <w:name w:val="Základní text odsazený Char"/>
    <w:basedOn w:val="Standardnpsmoodstavce"/>
    <w:link w:val="Zkladntextodsazen"/>
    <w:semiHidden/>
    <w:rsid w:val="005E1A24"/>
    <w:rPr>
      <w:sz w:val="24"/>
      <w:szCs w:val="24"/>
    </w:rPr>
  </w:style>
  <w:style w:type="paragraph" w:customStyle="1" w:styleId="Textparagrafu">
    <w:name w:val="Text paragrafu"/>
    <w:basedOn w:val="Normln"/>
    <w:rsid w:val="00B85A1E"/>
    <w:pPr>
      <w:spacing w:before="240" w:after="0"/>
      <w:ind w:firstLine="425"/>
      <w:outlineLvl w:val="5"/>
    </w:pPr>
    <w:rPr>
      <w:szCs w:val="20"/>
    </w:rPr>
  </w:style>
  <w:style w:type="paragraph" w:customStyle="1" w:styleId="Textlnku">
    <w:name w:val="Text článku"/>
    <w:basedOn w:val="Normln"/>
    <w:link w:val="TextlnkuChar"/>
    <w:rsid w:val="00B85A1E"/>
    <w:pPr>
      <w:spacing w:before="240" w:after="0"/>
      <w:ind w:firstLine="425"/>
      <w:outlineLvl w:val="5"/>
    </w:pPr>
    <w:rPr>
      <w:szCs w:val="20"/>
    </w:rPr>
  </w:style>
  <w:style w:type="character" w:customStyle="1" w:styleId="TextlnkuChar">
    <w:name w:val="Text článku Char"/>
    <w:link w:val="Textlnku"/>
    <w:rsid w:val="00B85A1E"/>
    <w:rPr>
      <w:sz w:val="24"/>
      <w:szCs w:val="20"/>
    </w:rPr>
  </w:style>
  <w:style w:type="paragraph" w:styleId="Titulek">
    <w:name w:val="caption"/>
    <w:basedOn w:val="Normln"/>
    <w:next w:val="Normln"/>
    <w:qFormat/>
    <w:locked/>
    <w:rsid w:val="00B85A1E"/>
    <w:pPr>
      <w:spacing w:before="120"/>
    </w:pPr>
    <w:rPr>
      <w:b/>
      <w:szCs w:val="20"/>
    </w:rPr>
  </w:style>
  <w:style w:type="character" w:customStyle="1" w:styleId="NovelizanbodChar">
    <w:name w:val="Novelizační bod Char"/>
    <w:link w:val="Novelizanbod"/>
    <w:rsid w:val="00B85A1E"/>
    <w:rPr>
      <w:sz w:val="24"/>
      <w:szCs w:val="20"/>
    </w:rPr>
  </w:style>
  <w:style w:type="character" w:customStyle="1" w:styleId="NADPISSTIChar">
    <w:name w:val="NADPIS ČÁSTI Char"/>
    <w:link w:val="NADPISSTI"/>
    <w:rsid w:val="00B85A1E"/>
    <w:rPr>
      <w:b/>
      <w:sz w:val="24"/>
      <w:szCs w:val="20"/>
    </w:rPr>
  </w:style>
  <w:style w:type="character" w:customStyle="1" w:styleId="lnekChar">
    <w:name w:val="Článek Char"/>
    <w:link w:val="lnek"/>
    <w:rsid w:val="00B85A1E"/>
    <w:rPr>
      <w:sz w:val="24"/>
      <w:szCs w:val="20"/>
    </w:rPr>
  </w:style>
  <w:style w:type="character" w:customStyle="1" w:styleId="NadpislnkuChar">
    <w:name w:val="Nadpis článku Char"/>
    <w:link w:val="Nadpislnku"/>
    <w:rsid w:val="00B85A1E"/>
    <w:rPr>
      <w:b/>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5316262">
      <w:bodyDiv w:val="1"/>
      <w:marLeft w:val="0"/>
      <w:marRight w:val="0"/>
      <w:marTop w:val="0"/>
      <w:marBottom w:val="0"/>
      <w:divBdr>
        <w:top w:val="none" w:sz="0" w:space="0" w:color="auto"/>
        <w:left w:val="none" w:sz="0" w:space="0" w:color="auto"/>
        <w:bottom w:val="none" w:sz="0" w:space="0" w:color="auto"/>
        <w:right w:val="none" w:sz="0" w:space="0" w:color="auto"/>
      </w:divBdr>
    </w:div>
    <w:div w:id="1139617476">
      <w:marLeft w:val="0"/>
      <w:marRight w:val="0"/>
      <w:marTop w:val="0"/>
      <w:marBottom w:val="0"/>
      <w:divBdr>
        <w:top w:val="none" w:sz="0" w:space="0" w:color="auto"/>
        <w:left w:val="none" w:sz="0" w:space="0" w:color="auto"/>
        <w:bottom w:val="none" w:sz="0" w:space="0" w:color="auto"/>
        <w:right w:val="none" w:sz="0" w:space="0" w:color="auto"/>
      </w:divBdr>
    </w:div>
    <w:div w:id="1139617479">
      <w:marLeft w:val="0"/>
      <w:marRight w:val="0"/>
      <w:marTop w:val="0"/>
      <w:marBottom w:val="0"/>
      <w:divBdr>
        <w:top w:val="none" w:sz="0" w:space="0" w:color="auto"/>
        <w:left w:val="none" w:sz="0" w:space="0" w:color="auto"/>
        <w:bottom w:val="none" w:sz="0" w:space="0" w:color="auto"/>
        <w:right w:val="none" w:sz="0" w:space="0" w:color="auto"/>
      </w:divBdr>
      <w:divsChild>
        <w:div w:id="1139617481">
          <w:marLeft w:val="0"/>
          <w:marRight w:val="0"/>
          <w:marTop w:val="0"/>
          <w:marBottom w:val="0"/>
          <w:divBdr>
            <w:top w:val="none" w:sz="0" w:space="0" w:color="auto"/>
            <w:left w:val="none" w:sz="0" w:space="0" w:color="auto"/>
            <w:bottom w:val="none" w:sz="0" w:space="0" w:color="auto"/>
            <w:right w:val="none" w:sz="0" w:space="0" w:color="auto"/>
          </w:divBdr>
          <w:divsChild>
            <w:div w:id="1139617482">
              <w:marLeft w:val="0"/>
              <w:marRight w:val="0"/>
              <w:marTop w:val="0"/>
              <w:marBottom w:val="0"/>
              <w:divBdr>
                <w:top w:val="none" w:sz="0" w:space="0" w:color="auto"/>
                <w:left w:val="none" w:sz="0" w:space="0" w:color="auto"/>
                <w:bottom w:val="none" w:sz="0" w:space="0" w:color="auto"/>
                <w:right w:val="none" w:sz="0" w:space="0" w:color="auto"/>
              </w:divBdr>
              <w:divsChild>
                <w:div w:id="1139617480">
                  <w:marLeft w:val="0"/>
                  <w:marRight w:val="0"/>
                  <w:marTop w:val="0"/>
                  <w:marBottom w:val="0"/>
                  <w:divBdr>
                    <w:top w:val="none" w:sz="0" w:space="0" w:color="auto"/>
                    <w:left w:val="none" w:sz="0" w:space="0" w:color="auto"/>
                    <w:bottom w:val="none" w:sz="0" w:space="0" w:color="auto"/>
                    <w:right w:val="none" w:sz="0" w:space="0" w:color="auto"/>
                  </w:divBdr>
                  <w:divsChild>
                    <w:div w:id="1139617475">
                      <w:marLeft w:val="1"/>
                      <w:marRight w:val="0"/>
                      <w:marTop w:val="0"/>
                      <w:marBottom w:val="0"/>
                      <w:divBdr>
                        <w:top w:val="none" w:sz="0" w:space="0" w:color="auto"/>
                        <w:left w:val="none" w:sz="0" w:space="0" w:color="auto"/>
                        <w:bottom w:val="none" w:sz="0" w:space="0" w:color="auto"/>
                        <w:right w:val="none" w:sz="0" w:space="0" w:color="auto"/>
                      </w:divBdr>
                      <w:divsChild>
                        <w:div w:id="1139617477">
                          <w:marLeft w:val="0"/>
                          <w:marRight w:val="0"/>
                          <w:marTop w:val="0"/>
                          <w:marBottom w:val="0"/>
                          <w:divBdr>
                            <w:top w:val="none" w:sz="0" w:space="0" w:color="auto"/>
                            <w:left w:val="none" w:sz="0" w:space="0" w:color="auto"/>
                            <w:bottom w:val="none" w:sz="0" w:space="0" w:color="auto"/>
                            <w:right w:val="none" w:sz="0" w:space="0" w:color="auto"/>
                          </w:divBdr>
                          <w:divsChild>
                            <w:div w:id="1139617485">
                              <w:marLeft w:val="0"/>
                              <w:marRight w:val="0"/>
                              <w:marTop w:val="0"/>
                              <w:marBottom w:val="360"/>
                              <w:divBdr>
                                <w:top w:val="none" w:sz="0" w:space="0" w:color="auto"/>
                                <w:left w:val="none" w:sz="0" w:space="0" w:color="auto"/>
                                <w:bottom w:val="none" w:sz="0" w:space="0" w:color="auto"/>
                                <w:right w:val="none" w:sz="0" w:space="0" w:color="auto"/>
                              </w:divBdr>
                              <w:divsChild>
                                <w:div w:id="1139617478">
                                  <w:marLeft w:val="0"/>
                                  <w:marRight w:val="0"/>
                                  <w:marTop w:val="0"/>
                                  <w:marBottom w:val="0"/>
                                  <w:divBdr>
                                    <w:top w:val="none" w:sz="0" w:space="0" w:color="auto"/>
                                    <w:left w:val="none" w:sz="0" w:space="0" w:color="auto"/>
                                    <w:bottom w:val="none" w:sz="0" w:space="0" w:color="auto"/>
                                    <w:right w:val="none" w:sz="0" w:space="0" w:color="auto"/>
                                  </w:divBdr>
                                  <w:divsChild>
                                    <w:div w:id="113961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9617483">
      <w:marLeft w:val="0"/>
      <w:marRight w:val="0"/>
      <w:marTop w:val="0"/>
      <w:marBottom w:val="0"/>
      <w:divBdr>
        <w:top w:val="none" w:sz="0" w:space="0" w:color="auto"/>
        <w:left w:val="none" w:sz="0" w:space="0" w:color="auto"/>
        <w:bottom w:val="none" w:sz="0" w:space="0" w:color="auto"/>
        <w:right w:val="none" w:sz="0" w:space="0" w:color="auto"/>
      </w:divBdr>
    </w:div>
    <w:div w:id="1867907793">
      <w:bodyDiv w:val="1"/>
      <w:marLeft w:val="0"/>
      <w:marRight w:val="0"/>
      <w:marTop w:val="0"/>
      <w:marBottom w:val="0"/>
      <w:divBdr>
        <w:top w:val="none" w:sz="0" w:space="0" w:color="auto"/>
        <w:left w:val="none" w:sz="0" w:space="0" w:color="auto"/>
        <w:bottom w:val="none" w:sz="0" w:space="0" w:color="auto"/>
        <w:right w:val="none" w:sz="0" w:space="0" w:color="auto"/>
      </w:divBdr>
    </w:div>
    <w:div w:id="2094737722">
      <w:bodyDiv w:val="1"/>
      <w:marLeft w:val="0"/>
      <w:marRight w:val="0"/>
      <w:marTop w:val="0"/>
      <w:marBottom w:val="0"/>
      <w:divBdr>
        <w:top w:val="none" w:sz="0" w:space="0" w:color="auto"/>
        <w:left w:val="none" w:sz="0" w:space="0" w:color="auto"/>
        <w:bottom w:val="none" w:sz="0" w:space="0" w:color="auto"/>
        <w:right w:val="none" w:sz="0" w:space="0" w:color="auto"/>
      </w:divBdr>
    </w:div>
    <w:div w:id="2122408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package" Target="embeddings/Microsoft_PowerPoint_Presentation2.pptx"/><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package" Target="embeddings/Microsoft_PowerPoint_Presentation1.pptx"/><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ku&#345;e%20pracovn&#237;\materi&#225;l%20I.%20-%20d&#367;vodov&#225;%20zpr&#225;v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873610-2493-4747-B5AC-F2539820A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materiál I. - důvodová zpráva.dot</Template>
  <TotalTime>1</TotalTime>
  <Pages>50</Pages>
  <Words>24384</Words>
  <Characters>143870</Characters>
  <Application>Microsoft Office Word</Application>
  <DocSecurity>0</DocSecurity>
  <Lines>1198</Lines>
  <Paragraphs>335</Paragraphs>
  <ScaleCrop>false</ScaleCrop>
  <HeadingPairs>
    <vt:vector size="2" baseType="variant">
      <vt:variant>
        <vt:lpstr>Název</vt:lpstr>
      </vt:variant>
      <vt:variant>
        <vt:i4>1</vt:i4>
      </vt:variant>
    </vt:vector>
  </HeadingPairs>
  <TitlesOfParts>
    <vt:vector size="1" baseType="lpstr">
      <vt:lpstr>self primVisitHeading: aNode style: 'část'</vt:lpstr>
    </vt:vector>
  </TitlesOfParts>
  <Company>e-Fractal s.r.o.</Company>
  <LinksUpToDate>false</LinksUpToDate>
  <CharactersWithSpaces>167919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self primVisitHeading: aNode style: 'část'</dc:title>
  <dc:creator>Domov</dc:creator>
  <cp:lastModifiedBy>Erlichová Pavla</cp:lastModifiedBy>
  <cp:revision>2</cp:revision>
  <cp:lastPrinted>2014-11-11T11:39:00Z</cp:lastPrinted>
  <dcterms:created xsi:type="dcterms:W3CDTF">2014-11-13T11:38:00Z</dcterms:created>
  <dcterms:modified xsi:type="dcterms:W3CDTF">2014-11-13T11:38:00Z</dcterms:modified>
</cp:coreProperties>
</file>